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</w:t>
      </w:r>
      <w:r>
        <w:rPr>
          <w:rFonts w:ascii="Times New Roman" w:hAnsi="Times New Roman"/>
          <w:b/>
          <w:sz w:val="28"/>
          <w:szCs w:val="28"/>
        </w:rPr>
        <w:t xml:space="preserve">оклад</w:t>
      </w:r>
      <w:r>
        <w:rPr>
          <w:rFonts w:ascii="Times New Roman" w:hAnsi="Times New Roman"/>
          <w:b/>
          <w:sz w:val="28"/>
          <w:szCs w:val="28"/>
        </w:rPr>
        <w:t xml:space="preserve"> о развитии и результатах</w:t>
      </w:r>
      <w:r>
        <w:rPr>
          <w:rFonts w:ascii="Times New Roman" w:hAnsi="Times New Roman"/>
          <w:b/>
          <w:sz w:val="28"/>
          <w:szCs w:val="28"/>
        </w:rPr>
        <w:t xml:space="preserve"> проведения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процедуры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оценки регулирующего воздействия </w:t>
      </w:r>
      <w:r>
        <w:rPr>
          <w:rFonts w:ascii="Times New Roman" w:hAnsi="Times New Roman"/>
          <w:b/>
          <w:sz w:val="28"/>
          <w:szCs w:val="28"/>
        </w:rPr>
        <w:t xml:space="preserve">и экспертизы муниципальных нормативных правовых актов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в </w:t>
      </w:r>
      <w:r>
        <w:rPr>
          <w:rFonts w:ascii="Times New Roman" w:hAnsi="Times New Roman"/>
          <w:b/>
          <w:sz w:val="28"/>
          <w:szCs w:val="28"/>
        </w:rPr>
        <w:t xml:space="preserve">городе Нижнем Новгороде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за 2024 год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40"/>
        <w:jc w:val="both"/>
        <w:spacing w:after="0" w:line="240" w:lineRule="auto"/>
        <w:widowControl w:val="off"/>
        <w:rPr>
          <w:rFonts w:cs="Calibri"/>
        </w:rPr>
      </w:pPr>
      <w:r>
        <w:rPr>
          <w:rFonts w:cs="Calibri"/>
        </w:rPr>
      </w:r>
      <w:r>
        <w:rPr>
          <w:rFonts w:cs="Calibri"/>
        </w:rPr>
      </w:r>
      <w:r>
        <w:rPr>
          <w:rFonts w:cs="Calibri"/>
        </w:rPr>
      </w:r>
    </w:p>
    <w:tbl>
      <w:tblPr>
        <w:tblW w:w="9781" w:type="dxa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29"/>
        <w:gridCol w:w="4577"/>
        <w:gridCol w:w="1134"/>
        <w:gridCol w:w="1641"/>
      </w:tblGrid>
      <w:tr>
        <w:tblPrEx/>
        <w:trPr>
          <w:trHeight w:val="235"/>
        </w:trPr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b/>
              </w:rPr>
              <w:outlineLvl w:val="2"/>
            </w:pPr>
            <w:r/>
            <w:bookmarkStart w:id="0" w:name="undefined"/>
            <w:r/>
            <w:bookmarkEnd w:id="0"/>
            <w:r>
              <w:rPr>
                <w:rFonts w:ascii="Times New Roman" w:hAnsi="Times New Roman"/>
                <w:b/>
              </w:rPr>
              <w:t xml:space="preserve">I. Общие сведения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Федеральный округ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7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Приволжский федеральный округ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7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Субъект Российской Федерации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7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Нижегородская область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7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Дата составления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Местное самоуправление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7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ород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ской округ город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Нижний Новгород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7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27.01.202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5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>
          <w:trHeight w:val="385"/>
        </w:trPr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b/>
              </w:rPr>
              <w:outlineLvl w:val="2"/>
            </w:pPr>
            <w:r/>
            <w:bookmarkStart w:id="0" w:name="undefined"/>
            <w:r/>
            <w:bookmarkEnd w:id="0"/>
            <w:r>
              <w:rPr>
                <w:rFonts w:ascii="Times New Roman" w:hAnsi="Times New Roman"/>
                <w:b/>
              </w:rPr>
              <w:t xml:space="preserve">II. Нормативное правовое закрепление института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2.1. Определен орган, </w:t>
            </w:r>
            <w:r>
              <w:rPr>
                <w:rFonts w:ascii="Times New Roman" w:hAnsi="Times New Roman"/>
                <w:b/>
              </w:rPr>
              <w:t xml:space="preserve">уполномоченный на осуществление контроля за соблюдением порядка проведения ОРВ и проведением процедур экспертизы муниципальных нормативных правовых актов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п.3 постан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овления администрации города Нижнего Новгорода от 29.12.2014 года №5493 «Об утверждении порядка проведения оценки регулирующего воздействия проектов муниципальных нормативных правовых актов и порядка проведения экспертизы муниципальных нормативных правовых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актов» департамент экономического развития администрации города Нижнего Новгорода определен уполномоченным органом на осуществление контроля за соблюдением порядка проведения ОРВ и проведением процедур экспертизы муниципальных нормативных правовых актов.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аспоряжением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председателя городской Думы города Нижнего Новгорода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 17 февраля 2020 года № 12-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РП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 утверждении состава органа, уполномоченного на осуществление контроля за соблюдением Порядка проведения оценки регулирующего воздействия проектов муниципальных нормативных правовых актов городской Думы города Нижнего Новгорода»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утвержден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состав органа, уполномоченного на осуществление контроля за соблюдением Порядка проведения оценки регулирующего воздействия проектов муниципальных нормативных правовых актов городской Думы города Нижнего Новгорода (уполномоченного органа)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2.2. Предметная область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</w:rPr>
              <w:t xml:space="preserve">Проведение процедуры оценки регулирующего воздействия прое</w:t>
            </w:r>
            <w:r>
              <w:rPr>
                <w:rFonts w:ascii="Times New Roman" w:hAnsi="Times New Roman"/>
              </w:rPr>
              <w:t xml:space="preserve">ктов нормативных правовых актов</w:t>
            </w:r>
            <w:r>
              <w:rPr>
                <w:rFonts w:ascii="Times New Roman" w:hAnsi="Times New Roman"/>
              </w:rPr>
              <w:t xml:space="preserve"> и экспертизы нормативных правовых актов, затрагивающих вопросы </w:t>
            </w:r>
            <w:r>
              <w:rPr>
                <w:rFonts w:ascii="Times New Roman" w:hAnsi="Times New Roman"/>
              </w:rPr>
              <w:t xml:space="preserve">предпринимательской и</w:t>
            </w:r>
            <w:r>
              <w:rPr>
                <w:rFonts w:ascii="Times New Roman" w:hAnsi="Times New Roman"/>
                <w:u w:val="single"/>
              </w:rPr>
              <w:t xml:space="preserve"> инвестиционной деятельности</w:t>
            </w:r>
            <w:r>
              <w:rPr>
                <w:rFonts w:ascii="Times New Roman" w:hAnsi="Times New Roman"/>
              </w:rPr>
              <w:t xml:space="preserve">_______________</w:t>
            </w:r>
            <w:r>
              <w:rPr>
                <w:rFonts w:ascii="Times New Roman" w:hAnsi="Times New Roman"/>
              </w:rPr>
              <w:t xml:space="preserve">______________________</w:t>
            </w:r>
            <w:r>
              <w:rPr>
                <w:rFonts w:ascii="Times New Roman" w:hAnsi="Times New Roman"/>
              </w:rPr>
              <w:t xml:space="preserve">_________________</w:t>
            </w:r>
            <w:r>
              <w:rPr>
                <w:rFonts w:ascii="Times New Roman" w:hAnsi="Times New Roman"/>
                <w:u w:val="single"/>
              </w:rPr>
            </w:r>
            <w:r>
              <w:rPr>
                <w:rFonts w:ascii="Times New Roman" w:hAnsi="Times New Roman"/>
                <w:u w:val="single"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i w:val="0"/>
                <w:iCs w:val="0"/>
                <w:sz w:val="20"/>
                <w:szCs w:val="20"/>
              </w:rPr>
            </w:pPr>
            <w:r>
              <w:rPr>
                <w:rFonts w:ascii="Times New Roman" w:hAnsi="Times New Roman"/>
                <w:i w:val="0"/>
                <w:iCs w:val="0"/>
                <w:sz w:val="20"/>
                <w:szCs w:val="20"/>
              </w:rPr>
            </w:r>
            <w:r>
              <w:rPr>
                <w:rFonts w:ascii="Times New Roman" w:hAnsi="Times New Roman"/>
                <w:i w:val="0"/>
                <w:iCs w:val="0"/>
                <w:sz w:val="20"/>
                <w:szCs w:val="20"/>
              </w:rPr>
              <w:t xml:space="preserve">Выявление положений, вводящих избыточные обязанности, запреты и ограничения для субъектов предпринимательской и иной экономической деят</w:t>
            </w:r>
            <w:r>
              <w:rPr>
                <w:rFonts w:ascii="Times New Roman" w:hAnsi="Times New Roman"/>
                <w:i w:val="0"/>
                <w:iCs w:val="0"/>
                <w:sz w:val="20"/>
                <w:szCs w:val="20"/>
              </w:rPr>
              <w:t xml:space="preserve">ельности или способствующих их введению, а также положений, способствующих возникновению необоснованных расходов субъектов предпринимательской и иной экономической деятельности и бюджета города Нижнего Новгорода</w:t>
            </w:r>
            <w:r>
              <w:rPr>
                <w:rFonts w:ascii="Times New Roman" w:hAnsi="Times New Roman"/>
                <w:i w:val="0"/>
                <w:iCs w:val="0"/>
                <w:sz w:val="20"/>
                <w:szCs w:val="20"/>
              </w:rPr>
            </w:r>
            <w:r>
              <w:rPr>
                <w:rFonts w:ascii="Times New Roman" w:hAnsi="Times New Roman"/>
                <w:i w:val="0"/>
                <w:iCs w:val="0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u w:val="single"/>
              </w:rPr>
            </w:r>
            <w:r>
              <w:rPr>
                <w:rFonts w:ascii="Times New Roman" w:hAnsi="Times New Roman"/>
                <w:i/>
                <w:sz w:val="16"/>
                <w:szCs w:val="16"/>
                <w:u w:val="single"/>
              </w:rPr>
            </w:r>
            <w:r>
              <w:rPr>
                <w:rFonts w:ascii="Times New Roman" w:hAnsi="Times New Roman"/>
                <w:i/>
                <w:sz w:val="16"/>
                <w:szCs w:val="16"/>
                <w:u w:val="single"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города Нижнего Новгорода от 29.12.2014 года №5493 «Об утверждении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порядка проведения оценки регулирующего воздействия проектов муниципальных нормативных правовых актов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порядка проведения экспертизы муниципальных нормативных правовых актов».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Cs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Решение городской Думы города Нижнего Новгорода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 18.03.2015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 Порядке проведения оценки регулирующего воздействия проектов муниципальных нормативных правовых актов городской Думы города Нижнего Новгорода и Порядке проведения экспертизы муниципальных нормативных правовых актов городской Думы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.</w:t>
            </w:r>
            <w:r>
              <w:rPr>
                <w:rFonts w:ascii="Times New Roman" w:hAnsi="Times New Roman"/>
                <w:bCs/>
                <w:i/>
                <w:sz w:val="16"/>
                <w:szCs w:val="16"/>
              </w:rPr>
            </w:r>
            <w:r>
              <w:rPr>
                <w:rFonts w:ascii="Times New Roman" w:hAnsi="Times New Roman"/>
                <w:bCs/>
                <w:i/>
                <w:sz w:val="16"/>
                <w:szCs w:val="16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2.3. Утвержден порядок проведения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города Нижнего Новгорода от 29.12.2014 года №5493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(в редакции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16.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01.2025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«Об утверждении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порядка проведения оценки регулирующего воздействия проектов муниципальных нормативных правовых актов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порядка проведения экспертизы муниципальных нормативных правовых актов»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https://admgor.nnov.ru/documents/Ocenka-reguliruyushchego-vozdeystviya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Порядок проведения оценки регулирующего воздействия проектов муниципальных нормативных правовых актов городской Думы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принятый решением городской Думы города Нижнего Новгорода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18.03.2015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 Порядке проведения оценки регулирующего воздействия проектов муниципальных нормативных правовых актов городской Думы города Нижнего Новгорода и Порядке проведения экспертизы муниципальных нормативных правовых актов городской Думы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2.4</w:t>
            </w:r>
            <w:r>
              <w:rPr>
                <w:rFonts w:ascii="Times New Roman" w:hAnsi="Times New Roman"/>
                <w:b/>
              </w:rPr>
              <w:t xml:space="preserve">. В соответствии с порядком оценка регулирующего воздействия проводится: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pStyle w:val="850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уполномоченным ор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ганом на осуществление контроля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 за соблюдением порядка проведения ОРВ и проведением процедур экспертизы муниципальных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нормативных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u w:val="single"/>
                <w:lang w:eastAsia="en-US"/>
              </w:rPr>
              <w:t xml:space="preserve"> правовых актов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____________________________________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___________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___________</w:t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i/>
                <w:sz w:val="16"/>
                <w:szCs w:val="16"/>
                <w:lang w:eastAsia="en-US"/>
              </w:rPr>
              <w:t xml:space="preserve">         </w:t>
            </w:r>
            <w:r>
              <w:rPr>
                <w:rFonts w:ascii="Times New Roman" w:hAnsi="Times New Roman" w:eastAsia="Calibri" w:cs="Times New Roman"/>
                <w:i/>
                <w:sz w:val="16"/>
                <w:szCs w:val="16"/>
                <w:lang w:eastAsia="en-US"/>
              </w:rPr>
              <w:t xml:space="preserve">                                                                                          </w:t>
            </w:r>
            <w:r>
              <w:rPr>
                <w:rFonts w:ascii="Times New Roman" w:hAnsi="Times New Roman" w:eastAsia="Calibri" w:cs="Times New Roman"/>
                <w:i/>
                <w:sz w:val="16"/>
                <w:szCs w:val="16"/>
                <w:lang w:eastAsia="en-US"/>
              </w:rPr>
              <w:t xml:space="preserve">место для текстового описания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Нет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pStyle w:val="8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самостоятельно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отраслевыми (функциональными) структурными подразделениями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 администрации -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разработчиками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проектов нормативных правовых актов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в соответствии с п.2.1 постановления администрации города Нижнего Новгорода от 29.12.2014 года №5493, 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в соответствии с 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пунктом 2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.1 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Порядка 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проведения оценки регулирующего воздействия проектов муниципальных нормативных правовых актов городской Думы города Нижнего Новгорода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, принят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ого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 решением городской Думы города Нижнего Новгорода 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от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 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18.03.2015 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№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 56</w:t>
            </w:r>
            <w:r>
              <w:rPr>
                <w:rFonts w:ascii="Times New Roman" w:hAnsi="Times New Roman" w:eastAsia="Calibri" w:cs="Times New Roman"/>
                <w:sz w:val="20"/>
                <w:szCs w:val="20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pStyle w:val="8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иное </w:t>
            </w:r>
            <w:r>
              <w:rPr>
                <w:rFonts w:ascii="Times New Roman" w:hAnsi="Times New Roman" w:cs="Times New Roman"/>
              </w:rPr>
              <w:t xml:space="preserve">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</w:t>
            </w:r>
            <w:r>
              <w:rPr>
                <w:rFonts w:ascii="Times New Roman" w:hAnsi="Times New Roman" w:eastAsia="Calibri" w:cs="Times New Roman"/>
                <w:i/>
                <w:sz w:val="16"/>
                <w:szCs w:val="16"/>
                <w:lang w:eastAsia="en-US"/>
              </w:rPr>
              <w:t xml:space="preserve">место для текстового описания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Нет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662"/>
        </w:trPr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b/>
              </w:rPr>
              <w:outlineLvl w:val="2"/>
            </w:pPr>
            <w:r/>
            <w:bookmarkStart w:id="0" w:name="undefined"/>
            <w:r/>
            <w:bookmarkEnd w:id="0"/>
            <w:r>
              <w:rPr>
                <w:rFonts w:ascii="Times New Roman" w:hAnsi="Times New Roman"/>
                <w:b/>
              </w:rPr>
              <w:t xml:space="preserve">III. Практический опыт проведения оценки регулирующего воздействия проектов нормативных правовых актов и экспертизы нормативных правовых актов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</w:tr>
      <w:tr>
        <w:tblPrEx/>
        <w:trPr>
          <w:trHeight w:val="393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3.1. Практический опыт проведения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общее количество подготовленных заключений об оценке регулирующего воздействия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13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418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количество положительных заключений об оценке регулирующего воздействия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13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3.2. Количество поступивших предложений и замечаний в среднем на один проект нормативного правового акта, проходивший оценку регулирующего воздействия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0,5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  <w14:ligatures w14:val="none"/>
              </w:rPr>
            </w:r>
          </w:p>
        </w:tc>
      </w:tr>
      <w:tr>
        <w:tblPrEx/>
        <w:trPr>
          <w:trHeight w:val="826"/>
        </w:trPr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</w:rPr>
              <w:t xml:space="preserve">в публ</w:t>
            </w:r>
            <w:r>
              <w:rPr>
                <w:rFonts w:ascii="Times New Roman" w:hAnsi="Times New Roman"/>
              </w:rPr>
              <w:t xml:space="preserve">ичных консультациях </w:t>
            </w:r>
            <w:r>
              <w:rPr>
                <w:rFonts w:ascii="Times New Roman" w:hAnsi="Times New Roman"/>
              </w:rPr>
              <w:t xml:space="preserve">по </w:t>
            </w:r>
            <w:r>
              <w:rPr>
                <w:rFonts w:ascii="Times New Roman" w:hAnsi="Times New Roman"/>
              </w:rPr>
              <w:t xml:space="preserve">13</w:t>
            </w:r>
            <w:r>
              <w:rPr>
                <w:rFonts w:ascii="Times New Roman" w:hAnsi="Times New Roman"/>
              </w:rPr>
              <w:t xml:space="preserve"> проект</w:t>
            </w:r>
            <w:r>
              <w:rPr>
                <w:rFonts w:ascii="Times New Roman" w:hAnsi="Times New Roman"/>
              </w:rPr>
              <w:t xml:space="preserve">ам</w:t>
            </w:r>
            <w:r>
              <w:rPr>
                <w:rFonts w:ascii="Times New Roman" w:hAnsi="Times New Roman"/>
              </w:rPr>
              <w:t xml:space="preserve"> НПА </w:t>
            </w:r>
            <w:r>
              <w:rPr>
                <w:rFonts w:ascii="Times New Roman" w:hAnsi="Times New Roman"/>
              </w:rPr>
              <w:t xml:space="preserve">зарегистрировано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highlight w:val="none"/>
              </w:rPr>
              <w:t xml:space="preserve">6</w:t>
            </w:r>
            <w:r>
              <w:rPr>
                <w:rFonts w:ascii="Times New Roman" w:hAnsi="Times New Roman"/>
                <w:highlight w:val="none"/>
              </w:rPr>
              <w:t xml:space="preserve"> </w:t>
            </w:r>
            <w:r>
              <w:rPr>
                <w:rFonts w:ascii="Times New Roman" w:hAnsi="Times New Roman"/>
              </w:rPr>
              <w:t xml:space="preserve">участник</w:t>
            </w:r>
            <w:r>
              <w:rPr>
                <w:rFonts w:ascii="Times New Roman" w:hAnsi="Times New Roman"/>
              </w:rPr>
              <w:t xml:space="preserve">а, внесших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по 3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проектам НПА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highlight w:val="none"/>
              </w:rPr>
              <w:t xml:space="preserve">7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предложений (</w:t>
            </w:r>
            <w:r>
              <w:rPr>
                <w:rFonts w:ascii="Times New Roman" w:hAnsi="Times New Roman"/>
              </w:rPr>
              <w:t xml:space="preserve">замечаний</w:t>
            </w:r>
            <w:r>
              <w:rPr>
                <w:rFonts w:ascii="Times New Roman" w:hAnsi="Times New Roman"/>
              </w:rPr>
              <w:t xml:space="preserve">)</w:t>
            </w:r>
            <w:r>
              <w:rPr>
                <w:rFonts w:ascii="Times New Roman" w:hAnsi="Times New Roman"/>
              </w:rPr>
              <w:t xml:space="preserve">, из которых </w:t>
            </w:r>
            <w:r>
              <w:rPr>
                <w:rFonts w:ascii="Times New Roman" w:hAnsi="Times New Roman"/>
              </w:rPr>
              <w:t xml:space="preserve">3 </w:t>
            </w:r>
            <w:r>
              <w:rPr>
                <w:rFonts w:ascii="Times New Roman" w:hAnsi="Times New Roman"/>
              </w:rPr>
              <w:t xml:space="preserve">было п</w:t>
            </w:r>
            <w:r>
              <w:rPr>
                <w:rFonts w:ascii="Times New Roman" w:hAnsi="Times New Roman"/>
              </w:rPr>
              <w:t xml:space="preserve">ринято </w:t>
            </w:r>
            <w:r>
              <w:rPr>
                <w:rFonts w:ascii="Times New Roman" w:hAnsi="Times New Roman"/>
              </w:rPr>
              <w:t xml:space="preserve">или учтено</w:t>
            </w:r>
            <w:r>
              <w:rPr>
                <w:rFonts w:ascii="Times New Roman" w:hAnsi="Times New Roman"/>
                <w:u w:val="single"/>
              </w:rPr>
              <w:t xml:space="preserve"> </w:t>
            </w:r>
            <w:r>
              <w:rPr>
                <w:rFonts w:ascii="Times New Roman" w:hAnsi="Times New Roman"/>
                <w:u w:val="single"/>
              </w:rPr>
            </w:r>
            <w:r>
              <w:rPr>
                <w:rFonts w:ascii="Times New Roman" w:hAnsi="Times New Roman"/>
                <w:u w:val="single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при наличии указать прочие статистические данные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>
          <w:trHeight w:val="838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3.3. Количество проектов НПА, по которым в рамках публичных консультаций от заинтересованных лиц поступило не менее двух замечаний или предложений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highlight w:val="none"/>
              </w:rPr>
              <w:t xml:space="preserve">2</w:t>
            </w:r>
            <w:r>
              <w:rPr>
                <w:rFonts w:ascii="Times New Roman" w:hAnsi="Times New Roman"/>
                <w:highlight w:val="yellow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>
          <w:trHeight w:val="838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3.4</w:t>
            </w:r>
            <w:r>
              <w:rPr>
                <w:rFonts w:ascii="Times New Roman" w:hAnsi="Times New Roman"/>
                <w:b/>
              </w:rPr>
              <w:t xml:space="preserve">. Оценка регулирующего воздействия проектов </w:t>
            </w:r>
            <w:r>
              <w:rPr>
                <w:rFonts w:ascii="Times New Roman" w:hAnsi="Times New Roman"/>
                <w:b/>
              </w:rPr>
              <w:t xml:space="preserve">муниципальных </w:t>
            </w:r>
            <w:r>
              <w:rPr>
                <w:rFonts w:ascii="Times New Roman" w:hAnsi="Times New Roman"/>
                <w:b/>
              </w:rPr>
              <w:t xml:space="preserve">нормативных правовых актов в установленной предметной области проводится на систематической основе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>
          <w:trHeight w:val="838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</w:rPr>
              <w:t xml:space="preserve">- </w:t>
            </w:r>
            <w:r>
              <w:rPr>
                <w:rFonts w:ascii="Times New Roman" w:hAnsi="Times New Roman"/>
                <w:bCs/>
              </w:rPr>
              <w:t xml:space="preserve">разработчиком которых является законодательный (представительный) орган местного самоуправления</w:t>
            </w:r>
            <w:r>
              <w:rPr>
                <w:rFonts w:ascii="Times New Roman" w:hAnsi="Times New Roman"/>
                <w:bCs/>
              </w:rPr>
            </w:r>
            <w:r>
              <w:rPr>
                <w:rFonts w:ascii="Times New Roman" w:hAnsi="Times New Roman"/>
                <w:bCs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- общее количество подготовленных заключений об оценке регулирующего воздействия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ет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838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</w:rPr>
              <w:t xml:space="preserve">- </w:t>
            </w:r>
            <w:r>
              <w:rPr>
                <w:rFonts w:ascii="Times New Roman" w:hAnsi="Times New Roman"/>
                <w:bCs/>
              </w:rPr>
              <w:t xml:space="preserve">разработчиками которых являются исполнительные органы местного самоуправления</w:t>
            </w:r>
            <w:r>
              <w:rPr>
                <w:rFonts w:ascii="Times New Roman" w:hAnsi="Times New Roman"/>
                <w:bCs/>
              </w:rPr>
            </w:r>
            <w:r>
              <w:rPr>
                <w:rFonts w:ascii="Times New Roman" w:hAnsi="Times New Roman"/>
                <w:bCs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- общее количество подготовленных заключений об оценке регулирующего воздействия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13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</w:tr>
      <w:tr>
        <w:tblPrEx/>
        <w:trPr>
          <w:trHeight w:val="327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3.5. Варианты предлагаемого правового регулирования оцениваются на основе использования количественных методов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Нет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при наличии указать </w:t>
            </w: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ссылки на применение количественного метода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3.6</w:t>
            </w:r>
            <w:r>
              <w:rPr>
                <w:rFonts w:ascii="Times New Roman" w:hAnsi="Times New Roman"/>
                <w:b/>
              </w:rPr>
              <w:t xml:space="preserve">. Практический опыт проведения экспертизы нормативных правовых актов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</w:t>
            </w:r>
            <w:r>
              <w:rPr>
                <w:rFonts w:ascii="Times New Roman" w:hAnsi="Times New Roman"/>
              </w:rPr>
              <w:t xml:space="preserve">оличество НПА включенных в план проведения экспертизы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общее количество подготовленных заключений об </w:t>
            </w:r>
            <w:r>
              <w:rPr>
                <w:rFonts w:ascii="Times New Roman" w:hAnsi="Times New Roman"/>
              </w:rPr>
              <w:t xml:space="preserve">экспертизе нормативных правовых актов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418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количество положительных заключений </w:t>
            </w:r>
            <w:r>
              <w:rPr>
                <w:rFonts w:ascii="Times New Roman" w:hAnsi="Times New Roman"/>
              </w:rPr>
              <w:t xml:space="preserve">об экспертизе нормативных правовых актов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425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по результатам экспертизы, в НПА внесены изменения или принято решение об их отмене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425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 xml:space="preserve">- по результатам экспертизы, </w:t>
            </w:r>
            <w:r>
              <w:rPr>
                <w:rFonts w:ascii="Times New Roman" w:hAnsi="Times New Roman"/>
              </w:rPr>
              <w:t xml:space="preserve">НПА остались без изменений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307"/>
        </w:trPr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b/>
              </w:rPr>
              <w:outlineLvl w:val="2"/>
            </w:pPr>
            <w:r/>
            <w:bookmarkStart w:id="0" w:name="undefined"/>
            <w:r/>
            <w:bookmarkEnd w:id="0"/>
            <w:r>
              <w:rPr>
                <w:rFonts w:ascii="Times New Roman" w:hAnsi="Times New Roman"/>
                <w:b/>
              </w:rPr>
              <w:t xml:space="preserve">IV. Информационная, образовательная и организационная поддержка проведения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4.1</w:t>
            </w:r>
            <w:r>
              <w:rPr>
                <w:rFonts w:ascii="Times New Roman" w:hAnsi="Times New Roman"/>
                <w:b/>
              </w:rPr>
              <w:t xml:space="preserve">. При проведении оценки регулирующего воздействия используется специализированный </w:t>
            </w:r>
            <w:r>
              <w:rPr>
                <w:rFonts w:ascii="Times New Roman" w:hAnsi="Times New Roman"/>
                <w:b/>
              </w:rPr>
              <w:t xml:space="preserve">местный</w:t>
            </w:r>
            <w:r>
              <w:rPr>
                <w:rFonts w:ascii="Times New Roman" w:hAnsi="Times New Roman"/>
                <w:b/>
              </w:rPr>
              <w:t xml:space="preserve"> интернет-портал, сайт </w:t>
            </w:r>
            <w:r>
              <w:rPr>
                <w:rFonts w:ascii="Times New Roman" w:hAnsi="Times New Roman"/>
                <w:b/>
              </w:rPr>
              <w:t xml:space="preserve">органов местного самоуправления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/>
            <w:hyperlink r:id="rId9" w:tooltip="https://admgor.nnov.ru/documents/Ocenka-reguliruyushchego-vozdeystviya" w:history="1">
              <w:r>
                <w:rPr>
                  <w:rStyle w:val="838"/>
                  <w:rFonts w:ascii="Times New Roman" w:hAnsi="Times New Roman" w:cs="Times New Roman"/>
                  <w:sz w:val="20"/>
                  <w:szCs w:val="20"/>
                </w:rPr>
                <w:t xml:space="preserve">https://admgor.nnov.ru/documents/Ocenka-reguliruyushchego-vozdeystviya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https://www.gordumannov.ru/?id=18045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4.2</w:t>
            </w:r>
            <w:r>
              <w:rPr>
                <w:rFonts w:ascii="Times New Roman" w:hAnsi="Times New Roman"/>
                <w:b/>
              </w:rPr>
              <w:t xml:space="preserve">. Нормативные правовые акты </w:t>
            </w:r>
            <w:r>
              <w:rPr>
                <w:rFonts w:ascii="Times New Roman" w:hAnsi="Times New Roman"/>
                <w:b/>
              </w:rPr>
              <w:t xml:space="preserve">размещены на специализированном интернет-портале, официальном сайте </w:t>
            </w:r>
            <w:r>
              <w:rPr>
                <w:rFonts w:ascii="Times New Roman" w:hAnsi="Times New Roman"/>
                <w:b/>
              </w:rPr>
              <w:t xml:space="preserve">органа местного самоуправления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/>
            <w:hyperlink r:id="rId10" w:tooltip="https://admgor.nnov.ru/documents/Ocenka-reguliruyushchego-vozdeystviya" w:history="1">
              <w:r>
                <w:rPr>
                  <w:rStyle w:val="838"/>
                  <w:rFonts w:ascii="Times New Roman" w:hAnsi="Times New Roman" w:cs="Times New Roman"/>
                  <w:sz w:val="20"/>
                  <w:szCs w:val="20"/>
                </w:rPr>
                <w:t xml:space="preserve">https://admgor.nnov.ru/documents/Ocenka-reguliruyushchego-vozdeystviya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https://www.gordumannov.ru/?id=18045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4.3</w:t>
            </w:r>
            <w:r>
              <w:rPr>
                <w:rFonts w:ascii="Times New Roman" w:hAnsi="Times New Roman"/>
                <w:b/>
              </w:rPr>
              <w:t xml:space="preserve">. Заключения об оценке регулирующего воздействия размещены на специализированном интернет-портале, официальном сайте</w:t>
            </w:r>
            <w:r>
              <w:rPr>
                <w:rFonts w:ascii="Times New Roman" w:hAnsi="Times New Roman"/>
                <w:b/>
              </w:rPr>
              <w:t xml:space="preserve"> органа местного самоуправления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/>
            <w:hyperlink r:id="rId11" w:tooltip="https://admgor.nnov.ru/documents/Ocenka-reguliruyushchego-vozdeystviya" w:history="1">
              <w:r>
                <w:rPr>
                  <w:rStyle w:val="838"/>
                  <w:rFonts w:ascii="Times New Roman" w:hAnsi="Times New Roman" w:cs="Times New Roman"/>
                  <w:sz w:val="20"/>
                  <w:szCs w:val="20"/>
                </w:rPr>
                <w:t xml:space="preserve">https://admgor.nnov.ru/documents/Ocenka-reguliruyushchego-vozdeystviya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https://www.gordumannov.ru/?id=18045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4.4</w:t>
            </w:r>
            <w:r>
              <w:rPr>
                <w:rFonts w:ascii="Times New Roman" w:hAnsi="Times New Roman"/>
                <w:b/>
              </w:rPr>
              <w:t xml:space="preserve">. Информация о проведении публичных консультаций размещается на специализированном интернет-портале, официальном сайте </w:t>
            </w:r>
            <w:r>
              <w:rPr>
                <w:rFonts w:ascii="Times New Roman" w:hAnsi="Times New Roman"/>
                <w:b/>
              </w:rPr>
              <w:t xml:space="preserve">органа местного самоуправления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/>
            <w:hyperlink r:id="rId12" w:tooltip="https://admgor.nnov.ru/documents/Ocenka-reguliruyushchego-vozdeystviya" w:history="1">
              <w:r>
                <w:rPr>
                  <w:rStyle w:val="838"/>
                  <w:rFonts w:ascii="Times New Roman" w:hAnsi="Times New Roman" w:cs="Times New Roman"/>
                  <w:sz w:val="20"/>
                  <w:szCs w:val="20"/>
                </w:rPr>
                <w:t xml:space="preserve">https://admgor.nnov.ru/documents/Ocenka-reguliruyushchego-vozdeystviya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https://www.gordumannov.ru/?id=18045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/>
                <w:b/>
                <w:color w:val="auto"/>
                <w:u w:val="none"/>
              </w:rPr>
            </w:pPr>
            <w:r>
              <w:rPr>
                <w:rFonts w:ascii="Times New Roman" w:hAnsi="Times New Roman"/>
                <w:b/>
              </w:rPr>
              <w:t xml:space="preserve">4.5</w:t>
            </w:r>
            <w:r>
              <w:rPr>
                <w:rFonts w:ascii="Times New Roman" w:hAnsi="Times New Roman"/>
                <w:b/>
              </w:rPr>
              <w:t xml:space="preserve">. Для публикации информации по оценке регулирующего воздействия используются другие </w:t>
            </w:r>
            <w:r>
              <w:rPr>
                <w:rFonts w:ascii="Times New Roman" w:hAnsi="Times New Roman"/>
                <w:b/>
              </w:rPr>
              <w:t xml:space="preserve">интернет-ресурсы</w:t>
            </w:r>
            <w:r>
              <w:rPr>
                <w:rFonts w:ascii="Times New Roman" w:hAnsi="Times New Roman"/>
                <w:b/>
                <w:color w:val="auto"/>
                <w:u w:val="none"/>
              </w:rPr>
            </w:r>
            <w:r>
              <w:rPr>
                <w:rFonts w:ascii="Times New Roman" w:hAnsi="Times New Roman"/>
                <w:b/>
                <w:color w:val="auto"/>
                <w:u w:val="none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/>
            <w:hyperlink r:id="rId13" w:tooltip="https://government-nnov.ru/?id=157597" w:history="1">
              <w:r>
                <w:rPr>
                  <w:rStyle w:val="838"/>
                  <w:rFonts w:ascii="Times New Roman" w:hAnsi="Times New Roman" w:cs="Times New Roman"/>
                  <w:sz w:val="20"/>
                  <w:szCs w:val="20"/>
                </w:rPr>
                <w:t xml:space="preserve">https://government-nnov.ru/?id=157597</w:t>
              </w:r>
            </w:hyperlink>
            <w: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r>
            <w: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4.6</w:t>
            </w:r>
            <w:r>
              <w:rPr>
                <w:rFonts w:ascii="Times New Roman" w:hAnsi="Times New Roman"/>
                <w:b/>
              </w:rPr>
              <w:t xml:space="preserve">. </w:t>
            </w:r>
            <w:r>
              <w:rPr>
                <w:rFonts w:ascii="Times New Roman" w:hAnsi="Times New Roman"/>
                <w:b/>
                <w:bCs/>
              </w:rPr>
              <w:t xml:space="preserve">Проводятся мероприятия, посвященные ОРВ. Информация о прошедших и (или) готовящихся мероприятиях (событиях) в сфере ОРВ</w:t>
            </w:r>
            <w:r>
              <w:rPr>
                <w:rStyle w:val="819"/>
                <w:rFonts w:ascii="Times New Roman" w:hAnsi="Times New Roman"/>
                <w:b/>
                <w:bCs/>
              </w:rPr>
              <w:t xml:space="preserve"> </w:t>
            </w:r>
            <w:r>
              <w:rPr>
                <w:rFonts w:ascii="Times New Roman" w:hAnsi="Times New Roman"/>
                <w:b/>
                <w:bCs/>
              </w:rPr>
              <w:t xml:space="preserve">регулярно публикуется на </w:t>
            </w:r>
            <w:r>
              <w:rPr>
                <w:rFonts w:ascii="Times New Roman" w:hAnsi="Times New Roman"/>
                <w:b/>
              </w:rPr>
              <w:t xml:space="preserve">специализированном интернет-портале, официальном сайте </w:t>
            </w:r>
            <w:r>
              <w:rPr>
                <w:rFonts w:ascii="Times New Roman" w:hAnsi="Times New Roman"/>
                <w:b/>
              </w:rPr>
              <w:t xml:space="preserve">органа местного самоуправления, других средствах массовой информации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Нет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при наличии указать </w:t>
            </w: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ссылки на мероприятия</w:t>
            </w:r>
            <w:r>
              <w:rPr>
                <w:rFonts w:ascii="Times New Roman" w:hAnsi="Times New Roman"/>
                <w:u w:val="single"/>
              </w:rPr>
            </w:r>
            <w:r>
              <w:rPr>
                <w:rFonts w:ascii="Times New Roman" w:hAnsi="Times New Roman"/>
                <w:u w:val="single"/>
              </w:rPr>
            </w:r>
          </w:p>
        </w:tc>
      </w:tr>
      <w:tr>
        <w:tblPrEx/>
        <w:trPr>
          <w:trHeight w:val="467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4.7</w:t>
            </w:r>
            <w:r>
              <w:rPr>
                <w:rFonts w:ascii="Times New Roman" w:hAnsi="Times New Roman"/>
                <w:b/>
              </w:rPr>
              <w:t xml:space="preserve">. Создан совет/рабочая группа по оценке регулирующего воздействия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Нет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Вопросы по созданию и деятельности советов/рабочих групп по оценке регулирующего воздействия нормативно правовыми актами на федеральном и региональном уровнях не определены.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</w:r>
          </w:p>
        </w:tc>
      </w:tr>
      <w:tr>
        <w:tblPrEx/>
        <w:trPr>
          <w:trHeight w:val="594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40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4.8</w:t>
            </w:r>
            <w:r>
              <w:rPr>
                <w:rFonts w:ascii="Times New Roman" w:hAnsi="Times New Roman"/>
                <w:b/>
              </w:rPr>
              <w:t xml:space="preserve">. Заключены соглашения о взаимодействии с бизнес-ассоциациями (объединениями)</w:t>
            </w:r>
            <w:r>
              <w:rPr>
                <w:rFonts w:ascii="Times New Roman" w:hAnsi="Times New Roman"/>
                <w:b/>
              </w:rPr>
              <w:t xml:space="preserve">, уполномоченным по защите прав предпринимателей</w:t>
            </w:r>
            <w:r>
              <w:rPr>
                <w:rFonts w:ascii="Times New Roman" w:hAnsi="Times New Roman"/>
                <w:b/>
              </w:rPr>
              <w:t xml:space="preserve"> при проведении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 «Соглашение о взаимодействии при проведении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оценки регулирующего воздействия проектов нормативных правовых актов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экспертизы действующих нормативных правовых актов администрации города Нижнего Новгорода» с Региональным объединением работодателей «Нижегородская Ассоциация промышленников и предпринимателей» от 16.09.2015 года;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 «Соглашение о взаимодействии при проведении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оценки регулирующего воздействия проектов нормативных правовых актов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экспертизы действующих нормативных правовых актов администрации города Нижнего Новгорода» с Торгово-промышленной палатой Нижегородской области от 16.09.2015 года;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 «Соглашение о взаимодействии между органами местного самоуправления города Нижнего Новгорода и Нижегородским региональным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отделением Общероссийской общественной организации малого и среднего предпринимательства «ОПОРА РОССИИ» с Нижегородским региональным отделением Общероссийской общественной организации малого и среднего предпринимательства «ОПОРА РОССИИ» от 01.02.2017 года;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4. «Соглашение о взаимодейств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ии при проведении оценки регулирующего воздействия проектов муниципальных нормативных правовых актов и при проведении экспертизы действующих муниципальных нормативных правовых актов» с Уполномоченным по защите прав предпринимателей в Нижегородской области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Солодкий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П.М. от 28.02.2019 года.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5.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«Соглашение о взаимодейств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ии при проведении оценки регулирующего воздействия проектов муниципальных нормативных правовых актов и при проведении экспертизы действующих муниципальных нормативных правовых актов» с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Акционерным обществом «Корпорация развития Нижегородской области»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51 от 11.08.2023 (зарегистрировано администрацией города Нижнего Новгорода 12.12.2023 № 41).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</w:tbl>
    <w:p>
      <w:pPr>
        <w:jc w:val="both"/>
        <w:spacing w:after="0" w:line="240" w:lineRule="auto"/>
        <w:widowControl w:val="off"/>
        <w:rPr>
          <w:rFonts w:cs="Calibri"/>
        </w:rPr>
      </w:pPr>
      <w:r>
        <w:rPr>
          <w:rFonts w:cs="Calibri"/>
        </w:rPr>
      </w:r>
      <w:r>
        <w:rPr>
          <w:rFonts w:cs="Calibri"/>
        </w:rPr>
      </w:r>
      <w:r>
        <w:rPr>
          <w:rFonts w:cs="Calibri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Мониторинг проведения оценки регулирующего воздействия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проектов актов (экспертизы актов)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в </w:t>
      </w:r>
      <w:r>
        <w:rPr>
          <w:rFonts w:ascii="Times New Roman" w:hAnsi="Times New Roman"/>
          <w:b/>
          <w:sz w:val="28"/>
          <w:szCs w:val="28"/>
        </w:rPr>
        <w:t xml:space="preserve">городе Нижнем Новгороде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 2024 год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42"/>
        <w:numPr>
          <w:ilvl w:val="0"/>
          <w:numId w:val="3"/>
        </w:numPr>
        <w:jc w:val="center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Общая характеристика</w:t>
      </w:r>
      <w:r>
        <w:rPr>
          <w:rFonts w:ascii="Times New Roman" w:hAnsi="Times New Roman"/>
          <w:b/>
          <w:sz w:val="28"/>
          <w:szCs w:val="28"/>
        </w:rPr>
        <w:t xml:space="preserve"> внедрения ОРВ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spacing w:after="0"/>
      </w:pPr>
      <w:r/>
      <w:r/>
    </w:p>
    <w:p>
      <w:pPr>
        <w:jc w:val="both"/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</w:r>
      <w:r>
        <w:rPr>
          <w:rFonts w:ascii="Times New Roman" w:hAnsi="Times New Roman" w:cs="Times New Roman"/>
          <w:iCs/>
          <w:sz w:val="20"/>
          <w:szCs w:val="20"/>
        </w:rPr>
        <w:t xml:space="preserve">На территории города Нижнего Новгорода действует постановление администрации города Нижнего Новгорода </w:t>
      </w:r>
      <w:r>
        <w:rPr>
          <w:rFonts w:ascii="Times New Roman" w:hAnsi="Times New Roman" w:cs="Times New Roman"/>
          <w:sz w:val="20"/>
          <w:szCs w:val="20"/>
        </w:rPr>
        <w:t xml:space="preserve">от 29.12.2014 года №5493 «Об утверждении порядка проведения оценки регулирующего воздействия проектов муниципальных нормативных правовых актов и порядка проведения экспертизы муниципальны</w:t>
      </w:r>
      <w:r>
        <w:rPr>
          <w:rFonts w:ascii="Times New Roman" w:hAnsi="Times New Roman" w:cs="Times New Roman"/>
          <w:sz w:val="20"/>
          <w:szCs w:val="20"/>
        </w:rPr>
        <w:t xml:space="preserve">х нормативных правовых актов», которое определяет правила проведения оценки регулирующего воздействия (далее - ОРВ) проектов нормативных правовых актов администрации города Нижнего Новгорода (далее – НПА), проектов нормативных правовых актов городской Думы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города Нижнего Новгорода, вносимых главой города Нижнего Новгород</w:t>
      </w:r>
      <w:r>
        <w:rPr>
          <w:rFonts w:ascii="Times New Roman" w:hAnsi="Times New Roman" w:cs="Times New Roman"/>
          <w:sz w:val="20"/>
          <w:szCs w:val="20"/>
        </w:rPr>
        <w:t xml:space="preserve">а,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деятельности, в целях выявления положений, вводящих избыточные обязанности, запреты и </w:t>
      </w:r>
      <w:r>
        <w:rPr>
          <w:rFonts w:ascii="Times New Roman" w:hAnsi="Times New Roman" w:cs="Times New Roman"/>
          <w:sz w:val="20"/>
          <w:szCs w:val="20"/>
        </w:rPr>
        <w:t xml:space="preserve">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бюджета города</w:t>
      </w:r>
      <w:r>
        <w:rPr>
          <w:rFonts w:ascii="Times New Roman" w:hAnsi="Times New Roman" w:cs="Times New Roman"/>
          <w:sz w:val="20"/>
          <w:szCs w:val="20"/>
        </w:rPr>
        <w:t xml:space="preserve"> Нижнего Новгорода. За 202</w:t>
      </w:r>
      <w:r>
        <w:rPr>
          <w:rFonts w:ascii="Times New Roman" w:hAnsi="Times New Roman" w:cs="Times New Roman"/>
          <w:sz w:val="20"/>
          <w:szCs w:val="20"/>
        </w:rPr>
        <w:t xml:space="preserve">4 года в городе Нижнем Новгороде </w:t>
      </w:r>
      <w:r>
        <w:rPr>
          <w:rFonts w:ascii="Times New Roman" w:hAnsi="Times New Roman" w:cs="Times New Roman"/>
          <w:sz w:val="20"/>
          <w:szCs w:val="20"/>
        </w:rPr>
        <w:t xml:space="preserve">13 НПА прошли оценку регулирующего воздействия (13</w:t>
      </w:r>
      <w:r>
        <w:rPr>
          <w:rFonts w:ascii="Times New Roman" w:hAnsi="Times New Roman" w:cs="Times New Roman"/>
          <w:sz w:val="20"/>
          <w:szCs w:val="20"/>
        </w:rPr>
        <w:t xml:space="preserve"> положительных заключений).</w:t>
      </w:r>
      <w:r>
        <w:rPr>
          <w:rFonts w:ascii="Times New Roman" w:hAnsi="Times New Roman"/>
          <w:i/>
          <w:sz w:val="28"/>
          <w:szCs w:val="28"/>
        </w:rPr>
      </w:r>
      <w:r>
        <w:rPr>
          <w:rFonts w:ascii="Times New Roman" w:hAnsi="Times New Roman"/>
          <w:i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  <w:highlight w:val="yellow"/>
        </w:rPr>
      </w:pPr>
      <w:r>
        <w:rPr>
          <w:rFonts w:ascii="Times New Roman" w:hAnsi="Times New Roman" w:cs="Times New Roman"/>
          <w:i/>
          <w:iCs/>
          <w:sz w:val="20"/>
          <w:szCs w:val="20"/>
          <w:highlight w:val="yellow"/>
        </w:rPr>
      </w:r>
      <w:r>
        <w:rPr>
          <w:rFonts w:ascii="Times New Roman" w:hAnsi="Times New Roman" w:cs="Times New Roman"/>
          <w:i/>
          <w:iCs/>
          <w:sz w:val="20"/>
          <w:szCs w:val="20"/>
          <w:highlight w:val="yellow"/>
        </w:rPr>
      </w:r>
      <w:r>
        <w:rPr>
          <w:rFonts w:ascii="Times New Roman" w:hAnsi="Times New Roman" w:cs="Times New Roman"/>
          <w:i/>
          <w:iCs/>
          <w:sz w:val="20"/>
          <w:szCs w:val="20"/>
          <w:highlight w:val="yellow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0"/>
          <w:szCs w:val="20"/>
          <w:highlight w:val="yellow"/>
        </w:rPr>
      </w:pPr>
      <w:r>
        <w:rPr>
          <w:rFonts w:ascii="Times New Roman" w:hAnsi="Times New Roman" w:cs="Times New Roman"/>
          <w:sz w:val="20"/>
          <w:szCs w:val="20"/>
          <w:highlight w:val="yellow"/>
        </w:rPr>
      </w:r>
      <w:r>
        <w:rPr>
          <w:rFonts w:ascii="Times New Roman" w:hAnsi="Times New Roman" w:cs="Times New Roman"/>
          <w:sz w:val="20"/>
          <w:szCs w:val="20"/>
          <w:highlight w:val="yellow"/>
        </w:rPr>
      </w:r>
      <w:r>
        <w:rPr>
          <w:rFonts w:ascii="Times New Roman" w:hAnsi="Times New Roman" w:cs="Times New Roman"/>
          <w:sz w:val="20"/>
          <w:szCs w:val="20"/>
          <w:highlight w:val="yellow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4"/>
          <w:szCs w:val="24"/>
        </w:rPr>
        <w:outlineLvl w:val="1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2. Оценка регулирующего воздействия проектов нормативных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правовых актов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tbl>
      <w:tblPr>
        <w:tblW w:w="10633" w:type="dxa"/>
        <w:tblInd w:w="-364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534"/>
        <w:gridCol w:w="1796"/>
        <w:gridCol w:w="1560"/>
        <w:gridCol w:w="3199"/>
        <w:gridCol w:w="1701"/>
        <w:gridCol w:w="1843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/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Наименование проекта правового акта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Разработчик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Предмет регулирования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Количество участников публичных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консультаций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Учет замечаний и предложений по проекту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yellow"/>
              </w:rPr>
            </w:pPr>
            <w:r>
              <w:rPr>
                <w:bCs/>
                <w:sz w:val="20"/>
                <w:szCs w:val="20"/>
              </w:rPr>
            </w:r>
            <w:r>
              <w:rPr>
                <w:bCs/>
                <w:sz w:val="20"/>
                <w:szCs w:val="20"/>
              </w:rPr>
              <w:t xml:space="preserve">Проект р</w:t>
            </w:r>
            <w:r>
              <w:rPr>
                <w:bCs/>
                <w:sz w:val="20"/>
                <w:szCs w:val="20"/>
              </w:rPr>
              <w:t xml:space="preserve">ешения городской Думы города Нижнего Новгорода «О внесении изменений в решение городской думы города Нижнего Новгорода от 24.04.2019 № 76 «Об имущественной поддержке субъектов малого и среднего предпринимательства при предоставлении муниципального имуществ</w:t>
            </w:r>
            <w:r>
              <w:rPr>
                <w:bCs/>
                <w:sz w:val="20"/>
                <w:szCs w:val="20"/>
              </w:rPr>
              <w:t xml:space="preserve">а города Нижнего Новгорода»</w:t>
            </w:r>
            <w:r>
              <w:rPr>
                <w:sz w:val="20"/>
                <w:szCs w:val="20"/>
                <w:highlight w:val="yellow"/>
              </w:rPr>
            </w:r>
            <w:r>
              <w:rPr>
                <w:sz w:val="20"/>
                <w:szCs w:val="20"/>
                <w:highlight w:val="yellow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Комитет по управлению городским имуществом и земельными ресурсами администрации города Нижнего Новгорода.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несение изменений в целях приведения муниципального правового акта в соответствие с нормами федерального законодательства (возможность получения имущественной поддержки физическими лицами, не являющимися индивидуальными предпринимателями и применяющими спе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циальный налоговый режим «Налог на профессиональный доход»)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none"/>
              </w:rPr>
            </w:pPr>
            <w:r>
              <w:rPr>
                <w:bCs/>
                <w:sz w:val="20"/>
                <w:szCs w:val="20"/>
                <w:highlight w:val="none"/>
              </w:rPr>
              <w:t xml:space="preserve">Проект </w:t>
            </w:r>
            <w:r>
              <w:rPr>
                <w:bCs/>
                <w:sz w:val="20"/>
                <w:szCs w:val="20"/>
                <w:highlight w:val="none"/>
              </w:rPr>
              <w:t xml:space="preserve">постановления администрации города Нижнего новгорода «О внесении изменений в постановление администрации города Нижнего Новгорода  от 28.08.2019  № 2967».</w:t>
            </w:r>
            <w:r>
              <w:rPr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Управление административно-технического и муниципального   контроля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Исключение несвойственных органам местного самоуправления и предоставляющего муниципальную услугу МКУ «Административно-техническая инспекция города Нижнего Новгорода» функций по истребованию и получению согласований владельцев коммуникаций при выдаче разре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шения (ордера).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  <w14:ligatures w14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none"/>
                <w14:ligatures w14:val="none"/>
              </w:rPr>
            </w:pPr>
            <w:r>
              <w:rPr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  <w:t xml:space="preserve">Проект </w:t>
            </w:r>
            <w:r>
              <w:rPr>
                <w:sz w:val="20"/>
                <w:szCs w:val="20"/>
                <w:highlight w:val="none"/>
              </w:rPr>
              <w:t xml:space="preserve">постановления администрации</w:t>
            </w:r>
            <w:r>
              <w:rPr>
                <w:sz w:val="20"/>
                <w:szCs w:val="20"/>
                <w:highlight w:val="none"/>
              </w:rPr>
              <w:t xml:space="preserve"> города Нижнего Новгорода </w:t>
            </w:r>
            <w:r>
              <w:rPr>
                <w:sz w:val="20"/>
                <w:szCs w:val="20"/>
                <w:highlight w:val="none"/>
              </w:rPr>
              <w:t xml:space="preserve">«</w:t>
            </w:r>
            <w:r>
              <w:rPr>
                <w:sz w:val="20"/>
                <w:szCs w:val="20"/>
                <w:highlight w:val="none"/>
              </w:rPr>
              <w:t xml:space="preserve">О внесении изменений в постановление администрации города Нижнего Новгорода от </w:t>
            </w:r>
            <w:r>
              <w:rPr>
                <w:sz w:val="20"/>
                <w:szCs w:val="20"/>
                <w:highlight w:val="none"/>
              </w:rPr>
              <w:t xml:space="preserve">26</w:t>
            </w:r>
            <w:r>
              <w:rPr>
                <w:sz w:val="20"/>
                <w:szCs w:val="20"/>
                <w:highlight w:val="none"/>
              </w:rPr>
              <w:t xml:space="preserve">.</w:t>
            </w:r>
            <w:r>
              <w:rPr>
                <w:sz w:val="20"/>
                <w:szCs w:val="20"/>
                <w:highlight w:val="none"/>
              </w:rPr>
              <w:t xml:space="preserve">09</w:t>
            </w:r>
            <w:r>
              <w:rPr>
                <w:sz w:val="20"/>
                <w:szCs w:val="20"/>
                <w:highlight w:val="none"/>
              </w:rPr>
              <w:t xml:space="preserve">.20</w:t>
            </w:r>
            <w:r>
              <w:rPr>
                <w:sz w:val="20"/>
                <w:szCs w:val="20"/>
                <w:highlight w:val="none"/>
              </w:rPr>
              <w:t xml:space="preserve">1</w:t>
            </w:r>
            <w:r>
              <w:rPr>
                <w:sz w:val="20"/>
                <w:szCs w:val="20"/>
                <w:highlight w:val="none"/>
              </w:rPr>
              <w:t xml:space="preserve">1 № </w:t>
            </w:r>
            <w:r>
              <w:rPr>
                <w:sz w:val="20"/>
                <w:szCs w:val="20"/>
                <w:highlight w:val="none"/>
              </w:rPr>
              <w:t xml:space="preserve">3763</w:t>
            </w:r>
            <w:r>
              <w:rPr>
                <w:sz w:val="20"/>
                <w:szCs w:val="20"/>
                <w:highlight w:val="none"/>
              </w:rPr>
              <w:t xml:space="preserve">»</w:t>
            </w:r>
            <w:r>
              <w:rPr>
                <w:sz w:val="20"/>
                <w:szCs w:val="20"/>
                <w:highlight w:val="none"/>
              </w:rPr>
              <w:t xml:space="preserve">.</w:t>
            </w:r>
            <w:r>
              <w:rPr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  <w14:ligatures w14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Департамент 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развития предпринимательства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Ум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еньшение коэффициента расчёта площади автоматов по продаже питьевой воды с целью стимулирования востребованности данного типа нестационарного торгового объекта (далее - НТО) среди субъектов предпринимательства, повышения конкурентноспособности среди произв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одителей и дистрибьюторов питьевой воды на территории города Нижнего Новгорода, увеличения количества участников в электронных аукционах на право заключения договора на размещение данного типа 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HITO.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both"/>
              <w:spacing w:after="0" w:line="240" w:lineRule="auto"/>
              <w:rPr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Увеличение коэффициента на специализации «общественное питание». «автотехобслуживание, ремонт автотранспортных средств», «ритуальные услуги», 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- «консультационные и парикмахерские услуги» позволит увеличить поступления в городской бюджет.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2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2 - отклонено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4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none"/>
              </w:rPr>
            </w:pPr>
            <w:r>
              <w:rPr>
                <w:bCs/>
                <w:sz w:val="20"/>
                <w:szCs w:val="20"/>
                <w:highlight w:val="none"/>
              </w:rPr>
            </w:r>
            <w:r>
              <w:rPr>
                <w:bCs/>
                <w:sz w:val="20"/>
                <w:szCs w:val="20"/>
                <w:highlight w:val="none"/>
              </w:rPr>
              <w:t xml:space="preserve">Проект решения городской Думы города Нижнего Новгорода «О внесении изменений в Правила благоустройства территории муниципального образования город Нижний Новгород, принятые решением городской Думы города Нижнего Новгорода от 26.12.2018 № 272».</w:t>
            </w:r>
            <w:r>
              <w:rPr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Отсутствие в действующей редакции Правил № 272 дифференцированных требований, учитывающих особенности архитектурно-пространственной среды городских территорий, в том числе стилевые и исторические, к указателям с наименованием улиц и номерами домов в зависимости от места расположения зданий и сооружений, при установлении требований к знакам адресации.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none"/>
              </w:rPr>
            </w:pPr>
            <w:r>
              <w:rPr>
                <w:bCs/>
                <w:sz w:val="20"/>
                <w:szCs w:val="20"/>
                <w:highlight w:val="none"/>
              </w:rPr>
            </w:r>
            <w:r>
              <w:rPr>
                <w:bCs/>
                <w:sz w:val="20"/>
                <w:szCs w:val="20"/>
                <w:highlight w:val="none"/>
              </w:rPr>
              <w:t xml:space="preserve">Проект постановления администрации города Нижнего Новгорода «О внесении изменений в постановление администрации города Нижнего Новгорода от 07.08.2014 № 3089»</w:t>
            </w:r>
            <w:r>
              <w:rPr>
                <w:bCs/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Комитет по управлению городским имуществом и земельными ресурсами администрации города Нижнего Новгорода.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Приведение в соответствие с законодательством п.п. 7.3 в приложениях №№ 5-7.1 постановление администрации города Нижнего Новгорода от 07.08.2014 № 3089 «Об утверждении типовых форм договоров»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6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none"/>
              </w:rPr>
            </w:pPr>
            <w:r>
              <w:rPr>
                <w:bCs/>
                <w:sz w:val="20"/>
                <w:szCs w:val="20"/>
                <w:highlight w:val="none"/>
              </w:rPr>
            </w:r>
            <w:r>
              <w:rPr>
                <w:bCs/>
                <w:sz w:val="20"/>
                <w:szCs w:val="20"/>
                <w:highlight w:val="none"/>
              </w:rPr>
              <w:t xml:space="preserve">П</w:t>
            </w:r>
            <w:r>
              <w:rPr>
                <w:bCs/>
                <w:sz w:val="20"/>
                <w:szCs w:val="20"/>
                <w:highlight w:val="none"/>
              </w:rPr>
              <w:t xml:space="preserve">роект постановления администрации города Нижнего Новгорода «О внесении изменений в постановление администрации города Нижнего Новгорода от 18.11.2019 № 4420»</w:t>
            </w:r>
            <w:r>
              <w:rPr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Департамент 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развития предпринимательства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Предоставление муниципальной поддержки субъектам малого и среднего предпринимательства и физическим лицам, применяющим специальный налоговый режим «Налог на профессиональный доход», города Нижнего Новгорода в виде грантов.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7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none"/>
              </w:rPr>
            </w:pPr>
            <w:r>
              <w:rPr>
                <w:bCs/>
                <w:sz w:val="20"/>
                <w:szCs w:val="20"/>
                <w:highlight w:val="none"/>
              </w:rPr>
            </w:r>
            <w:r>
              <w:rPr>
                <w:bCs/>
                <w:sz w:val="20"/>
                <w:szCs w:val="20"/>
                <w:highlight w:val="none"/>
              </w:rPr>
              <w:t xml:space="preserve">Проект постановления администрации города Нижнего Новгорода «Об утверждении административного регламента по предоставлению муниципальной услуги «Формирование и согласование перспективной и оперативной адресной программы земляных, ремонтных и иных видов рабо</w:t>
            </w:r>
            <w:r>
              <w:rPr>
                <w:bCs/>
                <w:sz w:val="20"/>
                <w:szCs w:val="20"/>
                <w:highlight w:val="none"/>
              </w:rPr>
              <w:t xml:space="preserve">т на территории муниципального образования город Нижний Новгород»</w:t>
            </w:r>
            <w:r>
              <w:rPr>
                <w:bCs/>
                <w:sz w:val="20"/>
                <w:szCs w:val="20"/>
                <w:highlight w:val="none"/>
              </w:rPr>
              <w:t xml:space="preserve">.</w:t>
            </w:r>
            <w:r>
              <w:rPr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Управление административно-технического и муниципального   контроля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Упорядочивание производства земляных, ремонтных и иных работ, связанных с благоустройством, снижение угрозы причинения вреда имуществу муниципальной казны и правам третьих лиц, а также повышению комфорта жизни населения города, уменьшения отрицательного влияния проводимых мероприятий на условиях проживания населения и жизнедеятельности города.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</w:p>
        </w:tc>
      </w:tr>
      <w:tr>
        <w:tblPrEx/>
        <w:trPr>
          <w:trHeight w:val="268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yellow"/>
              </w:rPr>
            </w:pPr>
            <w:r>
              <w:rPr>
                <w:bCs/>
                <w:sz w:val="20"/>
                <w:szCs w:val="20"/>
                <w:highlight w:val="yellow"/>
              </w:rPr>
            </w:r>
            <w:r>
              <w:rPr>
                <w:bCs/>
                <w:sz w:val="20"/>
                <w:szCs w:val="20"/>
                <w:highlight w:val="none"/>
              </w:rPr>
              <w:t xml:space="preserve">П</w:t>
            </w:r>
            <w:r>
              <w:rPr>
                <w:bCs/>
                <w:sz w:val="20"/>
                <w:szCs w:val="20"/>
                <w:highlight w:val="none"/>
              </w:rPr>
              <w:t xml:space="preserve">роект постановления администрации города Нижнего Новгорода «О внесении изменений в постановление администрации города Нижнего Новгорода от 18.11.2019 № 4420»</w:t>
            </w:r>
            <w:r/>
            <w:r>
              <w:rPr>
                <w:bCs/>
                <w:sz w:val="20"/>
                <w:szCs w:val="20"/>
                <w:highlight w:val="yellow"/>
              </w:rPr>
            </w:r>
            <w:r>
              <w:rPr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Департамент 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развития предпринимательства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Предоставление муниципальной поддержки субъектам малого и среднего предпринимательства и физическим лицам, применяющим специальный налоговый режим «Налог на профессиональный доход», и не являющихся индивидуальными предпринимателями, города Нижнего Новгорода в виде субсидии.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 - учтено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9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none"/>
              </w:rPr>
            </w:pPr>
            <w:r>
              <w:rPr>
                <w:bCs/>
                <w:sz w:val="20"/>
                <w:szCs w:val="20"/>
                <w:highlight w:val="none"/>
              </w:rPr>
            </w:r>
            <w:r>
              <w:rPr>
                <w:bCs/>
                <w:sz w:val="20"/>
                <w:szCs w:val="20"/>
                <w:highlight w:val="none"/>
              </w:rPr>
              <w:t xml:space="preserve">Проект решения городской Думы города Нижнего Новгорода «О внесении изменений в Местные нормативы градостроительного проектирования города Нижнего Новгорода, утвержденные решением городской Думы города Нижнего Новгорода от 19.09.2018 № 188».</w:t>
            </w:r>
            <w:r>
              <w:rPr>
                <w:bCs/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Местные нормативы градостроительного проектирования являются частью системы нормативов градостроительного проектирования, включающей в себя федеральные и региональные нормативы градостроительного проектирования и показатели, устанавливаемые местными нормативами не должны противоречить региональным и федеральным нормативам.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3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2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- отклонено,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2-учтено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rPr>
                <w:bCs/>
                <w:sz w:val="20"/>
                <w:szCs w:val="20"/>
                <w:highlight w:val="yellow"/>
              </w:rPr>
            </w:pPr>
            <w:r>
              <w:rPr>
                <w:bCs/>
                <w:sz w:val="20"/>
                <w:szCs w:val="20"/>
                <w:highlight w:val="yellow"/>
              </w:rPr>
            </w:r>
            <w:r>
              <w:rPr>
                <w:bCs/>
                <w:sz w:val="20"/>
                <w:szCs w:val="20"/>
                <w:highlight w:val="none"/>
              </w:rPr>
              <w:t xml:space="preserve">Проект решения городской Думы города Нижнего Новгорода «О внесении изменений в Правила благоустройства территории муниципального образования город Нижний Новгород, принятые решением городской Думы города Нижнего Новгорода от 26.12.2018 № 272».</w:t>
            </w:r>
            <w:r/>
            <w:r>
              <w:rPr>
                <w:bCs/>
                <w:sz w:val="20"/>
                <w:szCs w:val="20"/>
                <w:highlight w:val="yellow"/>
              </w:rPr>
            </w:r>
            <w:r>
              <w:rPr>
                <w:bCs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Департамент 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развития предпринимательства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Улучшение архитектурно-пространственной среды города в границах отдельных территорий с учетом социально-исторических, эстетических, стилевых аспектов.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11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none"/>
              </w:rPr>
            </w:pPr>
            <w:r>
              <w:rPr>
                <w:bCs/>
                <w:sz w:val="20"/>
                <w:szCs w:val="20"/>
                <w:highlight w:val="none"/>
              </w:rPr>
            </w:r>
            <w:r>
              <w:rPr>
                <w:bCs/>
                <w:sz w:val="20"/>
                <w:szCs w:val="20"/>
                <w:highlight w:val="none"/>
              </w:rPr>
              <w:t xml:space="preserve">Проект постановления администрации города Нижнего Новгорода «О внесении изменений в постановление администрации города Нижнего Новгорода от 07.03.2013 № 730 «Об утверждении Методики расчета размера платы по договору на установку и эксплуатацию рекламных кон</w:t>
            </w:r>
            <w:r>
              <w:rPr>
                <w:bCs/>
                <w:sz w:val="20"/>
                <w:szCs w:val="20"/>
                <w:highlight w:val="none"/>
              </w:rPr>
              <w:t xml:space="preserve">струкций на земельном участке, здании или ином недвижимом имуществе, находящемся в муниципальной собственности города Нижнего Новгорода, и об отмене постановления главы администрации города Нижнего Новгорода от 05.12.2006 № 4215»</w:t>
            </w:r>
            <w:r>
              <w:rPr>
                <w:bCs/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/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sz w:val="20"/>
                <w:szCs w:val="20"/>
                <w:highlight w:val="yellow"/>
              </w:rPr>
            </w:r>
            <w:r>
              <w:rPr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Отсутствие правового регулирования вопроса о порядке индексации платы по договорам на установку и эксплуатацию рекламных конструкций в рамках Федерального закона от 23.04.2024 № 98-ФЗ «О внесении изменений в статью 40 Федерального закона «О рекламе» и Федеральный закон «О внесении изменений в отдельные законодательные акты Российской Федерации».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12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none"/>
              </w:rPr>
            </w:pPr>
            <w:r>
              <w:rPr>
                <w:bCs/>
                <w:sz w:val="20"/>
                <w:szCs w:val="20"/>
                <w:highlight w:val="none"/>
              </w:rPr>
              <w:t xml:space="preserve">П</w:t>
            </w:r>
            <w:r>
              <w:rPr>
                <w:bCs/>
                <w:sz w:val="20"/>
                <w:szCs w:val="20"/>
                <w:highlight w:val="none"/>
              </w:rPr>
              <w:t xml:space="preserve">роект постановления администрации города Нижнего Новгорода «О внесении изменений в постановление администрации города Нижнего Новгорода от 28.08.2019 № 2967».</w:t>
            </w:r>
            <w:r>
              <w:rPr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Управление административно-технического и муниципального   контроля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sz w:val="20"/>
                <w:szCs w:val="20"/>
                <w:highlight w:val="yellow"/>
              </w:rPr>
            </w:r>
            <w:r>
              <w:rPr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Законные представители несовершеннолетнего будут уравновешены в правах на получение результатов предоставления муниципальной услуги в отношении ребенка, оформленных в виде бумажных документов, вне зависимости от того, кто из них является заявителем.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Упорядочение производства земляных, ремонтных и иных работ, связанных с благоустройством, снижение угрозы причинения вреда имуществу муниципальной казны и правам третьих лиц, а также повышение комфорта жизни населения города, уменьшения отрицательного влияния проводимых мероприятий на условиях проживания населения и жизнедеятельности города.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13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pStyle w:val="839"/>
              <w:spacing w:before="0" w:beforeAutospacing="0" w:after="0" w:afterAutospacing="0"/>
              <w:rPr>
                <w:sz w:val="20"/>
                <w:szCs w:val="20"/>
                <w:highlight w:val="none"/>
              </w:rPr>
            </w:pPr>
            <w:r>
              <w:rPr>
                <w:bCs/>
                <w:sz w:val="20"/>
                <w:szCs w:val="20"/>
                <w:highlight w:val="none"/>
              </w:rPr>
              <w:t xml:space="preserve">П</w:t>
            </w:r>
            <w:r>
              <w:rPr>
                <w:bCs/>
                <w:sz w:val="20"/>
                <w:szCs w:val="20"/>
                <w:highlight w:val="none"/>
              </w:rPr>
              <w:t xml:space="preserve">роект постановления администрации города Нижнего Новгорода «О внесении изменений в Правила размещения информационных конструкций на территории муниципального образования городской округ город Нижний Новгород, утвержденные постановлением администрации город</w:t>
            </w:r>
            <w:r>
              <w:rPr>
                <w:bCs/>
                <w:sz w:val="20"/>
                <w:szCs w:val="20"/>
                <w:highlight w:val="none"/>
              </w:rPr>
              <w:t xml:space="preserve">а Нижнего Новгорода от 29.03.2023 № 1826 (ред. от 31.10.2023)»</w:t>
            </w:r>
            <w:r>
              <w:rPr>
                <w:bCs/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Отсутствие правового регулирования обеспечения соблюдения архитектурного облика города и порядка размещения информационных конструкций на территории городского округа город Нижний Новгород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r>
          </w:p>
        </w:tc>
      </w:tr>
    </w:tbl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0"/>
          <w:szCs w:val="20"/>
          <w:highlight w:val="yellow"/>
        </w:rPr>
      </w:pPr>
      <w:r>
        <w:rPr>
          <w:rFonts w:ascii="Times New Roman" w:hAnsi="Times New Roman" w:cs="Times New Roman"/>
          <w:sz w:val="20"/>
          <w:szCs w:val="20"/>
          <w:highlight w:val="yellow"/>
        </w:rPr>
      </w:r>
      <w:r>
        <w:rPr>
          <w:rFonts w:ascii="Times New Roman" w:hAnsi="Times New Roman" w:cs="Times New Roman"/>
          <w:sz w:val="20"/>
          <w:szCs w:val="20"/>
          <w:highlight w:val="yellow"/>
        </w:rPr>
      </w:r>
      <w:r>
        <w:rPr>
          <w:rFonts w:ascii="Times New Roman" w:hAnsi="Times New Roman" w:cs="Times New Roman"/>
          <w:sz w:val="20"/>
          <w:szCs w:val="20"/>
          <w:highlight w:val="yellow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highlight w:val="yellow"/>
        </w:rPr>
        <w:outlineLvl w:val="1"/>
      </w:pPr>
      <w:r>
        <w:rPr>
          <w:rFonts w:ascii="Times New Roman" w:hAnsi="Times New Roman" w:cs="Times New Roman"/>
          <w:b/>
          <w:bCs/>
          <w:sz w:val="20"/>
          <w:szCs w:val="20"/>
          <w:highlight w:val="yellow"/>
        </w:rPr>
      </w:r>
      <w:r>
        <w:rPr>
          <w:rFonts w:ascii="Times New Roman" w:hAnsi="Times New Roman" w:cs="Times New Roman"/>
          <w:b/>
          <w:bCs/>
          <w:sz w:val="20"/>
          <w:szCs w:val="20"/>
          <w:highlight w:val="yellow"/>
        </w:rPr>
      </w:r>
      <w:r>
        <w:rPr>
          <w:rFonts w:ascii="Times New Roman" w:hAnsi="Times New Roman" w:cs="Times New Roman"/>
          <w:b/>
          <w:bCs/>
          <w:sz w:val="20"/>
          <w:szCs w:val="20"/>
          <w:highlight w:val="yellow"/>
        </w:rPr>
      </w:r>
    </w:p>
    <w:p>
      <w:pPr>
        <w:jc w:val="center"/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3. </w:t>
      </w:r>
      <w:r>
        <w:rPr>
          <w:rFonts w:ascii="Times New Roman" w:hAnsi="Times New Roman"/>
          <w:b/>
          <w:sz w:val="24"/>
          <w:szCs w:val="24"/>
        </w:rPr>
        <w:t xml:space="preserve">Список </w:t>
      </w:r>
      <w:r>
        <w:rPr>
          <w:rFonts w:ascii="Times New Roman" w:hAnsi="Times New Roman"/>
          <w:b/>
          <w:sz w:val="24"/>
          <w:szCs w:val="24"/>
        </w:rPr>
        <w:t xml:space="preserve">участников публичных консультаций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 xml:space="preserve">при проведении ОРВ 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tbl>
      <w:tblPr>
        <w:tblStyle w:val="691"/>
        <w:tblW w:w="10568" w:type="dxa"/>
        <w:tblInd w:w="-322" w:type="dxa"/>
        <w:tblLayout w:type="fixed"/>
        <w:tblLook w:val="04A0" w:firstRow="1" w:lastRow="0" w:firstColumn="1" w:lastColumn="0" w:noHBand="0" w:noVBand="1"/>
      </w:tblPr>
      <w:tblGrid>
        <w:gridCol w:w="8754"/>
        <w:gridCol w:w="1814"/>
      </w:tblGrid>
      <w:tr>
        <w:tblPrEx/>
        <w:trPr/>
        <w:tc>
          <w:tcPr>
            <w:tcW w:w="8754" w:type="dxa"/>
            <w:textDirection w:val="lrTb"/>
            <w:noWrap w:val="false"/>
          </w:tcPr>
          <w:p>
            <w:pPr>
              <w:jc w:val="center"/>
              <w:spacing w:before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Участник (наименование организации, ФИО физического лица)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81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Количество проектов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tcW w:w="8754" w:type="dxa"/>
            <w:vMerge w:val="restart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Нижегородское региональное объединение «Опоры России»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14" w:type="dxa"/>
            <w:vMerge w:val="restar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8754" w:type="dxa"/>
            <w:vMerge w:val="restart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АНО «ЦПП города Нижнего Новгорода»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14" w:type="dxa"/>
            <w:vMerge w:val="restar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8754" w:type="dxa"/>
            <w:vMerge w:val="restart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Министерство градостроительной деятельности и развития агломерации Нижегородской области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14" w:type="dxa"/>
            <w:vMerge w:val="restar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8754" w:type="dxa"/>
            <w:vMerge w:val="restart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Территориальное отраслевое объединение работодателей «Союз нижегородских строителей»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14" w:type="dxa"/>
            <w:vMerge w:val="restar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84"/>
        </w:trPr>
        <w:tc>
          <w:tcPr>
            <w:tcW w:w="8754" w:type="dxa"/>
            <w:vMerge w:val="restart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Специализированный застройщик «Строй-Риэлти и К»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14" w:type="dxa"/>
            <w:vMerge w:val="restar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84"/>
        </w:trPr>
        <w:tc>
          <w:tcPr>
            <w:tcW w:w="8754" w:type="dxa"/>
            <w:vMerge w:val="restart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втономная некоммерческая организация Нижегородский центр общественных процедур «Бизнес против коррупции»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14" w:type="dxa"/>
            <w:vMerge w:val="restar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  <w:outlineLvl w:val="1"/>
      </w:pP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4"/>
          <w:szCs w:val="24"/>
        </w:rPr>
        <w:outlineLvl w:val="1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4. Экспертиза нормативных правовых актов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534"/>
        <w:gridCol w:w="1871"/>
        <w:gridCol w:w="1644"/>
        <w:gridCol w:w="2959"/>
        <w:gridCol w:w="1701"/>
        <w:gridCol w:w="1559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/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Наименование и реквизиты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правового акта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4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Разработчик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Цель введения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Количество участников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публичных консультаций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Описание выбранного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варианта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1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Решение городской Думы города Нижнего Новгорода от 22.06.2022 № 130 «О внесении изменений в Правила установки и эксплуатации рекламных конструкций в муниципальном образовании городской округ город Нижний Новгород, принятые решением городской Думы города Ниж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него Новгорода от 19.09.2012 № 119».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4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5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  <w:t xml:space="preserve">Исключение из Правил установки и эксплуатации рекламных конструкций в муниципальном образовании городской округ город Нижний Новгород невостребованных и устаревших типов рекламных конструкций, а также актуализация ссылки на нормативный правовой акт в п. 4.5.3. Правил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охранение действующего режима регулирования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1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Решение городской Думы города Нижнего Новгорода от 27.07.2022 № 163 «О внесении изменений в Приложение № 5 к Правилам установки и эксплуатации рекламных конструкций в муниципальном образовании городской округ город Нижний Новгород, принятые решением городск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ой Думы города Нижнего Новгорода от 19.09.2012 № 119».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4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highlight w:val="none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59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Дополнение адресного перечня установки медиафасадов и требований в Приложении № 5 Правил установки и эксплуатации рекламных конструкций в муниципальном образовании городской округ город Нижний Новгород новым адресом: пр-кт Гагарина, д. 178 с определением размера информационного поля медиафасада, который может быть размещен по указанному адресу (не менее 400 кв.м.), для обеспечения архитектурных особенностей здания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Сохранение действующего режима регулирования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1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города Нижнего Новгорода от 20 февраля 2020 г. № 568 «О внесении изменений в постановление администрации города Нижнего Новгорода от 26.09.2011 № 3763».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4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Д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епартамент развития предпринимательства и инвестиций администрации города Нижнего Новгорода.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5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Приведение «Методики начальной цены предмета аукциона на право заключения договора на размещение нестационарного торгового объекта» в соответствие, в целях осуществления возможности проведения открытых аукционов среди субъектов малого и среднего предпринимательства на право заключения договоров на размещение НТО, сроком действия договоров на размещение НТО до конца действия Схемы.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Сохранение действующего режима регулирования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</w:tbl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sectPr>
      <w:footnotePr/>
      <w:endnotePr/>
      <w:type w:val="nextPage"/>
      <w:pgSz w:w="11906" w:h="16838" w:orient="portrait"/>
      <w:pgMar w:top="992" w:right="709" w:bottom="1134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0">
    <w:name w:val="Heading 1"/>
    <w:basedOn w:val="834"/>
    <w:next w:val="834"/>
    <w:link w:val="66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1">
    <w:name w:val="Heading 1 Char"/>
    <w:basedOn w:val="835"/>
    <w:link w:val="660"/>
    <w:uiPriority w:val="9"/>
    <w:rPr>
      <w:rFonts w:ascii="Arial" w:hAnsi="Arial" w:eastAsia="Arial" w:cs="Arial"/>
      <w:sz w:val="40"/>
      <w:szCs w:val="40"/>
    </w:rPr>
  </w:style>
  <w:style w:type="paragraph" w:styleId="662">
    <w:name w:val="Heading 2"/>
    <w:basedOn w:val="834"/>
    <w:next w:val="834"/>
    <w:link w:val="66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3">
    <w:name w:val="Heading 2 Char"/>
    <w:basedOn w:val="835"/>
    <w:link w:val="662"/>
    <w:uiPriority w:val="9"/>
    <w:rPr>
      <w:rFonts w:ascii="Arial" w:hAnsi="Arial" w:eastAsia="Arial" w:cs="Arial"/>
      <w:sz w:val="34"/>
    </w:rPr>
  </w:style>
  <w:style w:type="paragraph" w:styleId="664">
    <w:name w:val="Heading 3"/>
    <w:basedOn w:val="834"/>
    <w:next w:val="834"/>
    <w:link w:val="66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5">
    <w:name w:val="Heading 3 Char"/>
    <w:basedOn w:val="835"/>
    <w:link w:val="664"/>
    <w:uiPriority w:val="9"/>
    <w:rPr>
      <w:rFonts w:ascii="Arial" w:hAnsi="Arial" w:eastAsia="Arial" w:cs="Arial"/>
      <w:sz w:val="30"/>
      <w:szCs w:val="30"/>
    </w:rPr>
  </w:style>
  <w:style w:type="paragraph" w:styleId="666">
    <w:name w:val="Heading 4"/>
    <w:basedOn w:val="834"/>
    <w:next w:val="834"/>
    <w:link w:val="66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7">
    <w:name w:val="Heading 4 Char"/>
    <w:basedOn w:val="835"/>
    <w:link w:val="666"/>
    <w:uiPriority w:val="9"/>
    <w:rPr>
      <w:rFonts w:ascii="Arial" w:hAnsi="Arial" w:eastAsia="Arial" w:cs="Arial"/>
      <w:b/>
      <w:bCs/>
      <w:sz w:val="26"/>
      <w:szCs w:val="26"/>
    </w:rPr>
  </w:style>
  <w:style w:type="paragraph" w:styleId="668">
    <w:name w:val="Heading 5"/>
    <w:basedOn w:val="834"/>
    <w:next w:val="834"/>
    <w:link w:val="66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9">
    <w:name w:val="Heading 5 Char"/>
    <w:basedOn w:val="835"/>
    <w:link w:val="668"/>
    <w:uiPriority w:val="9"/>
    <w:rPr>
      <w:rFonts w:ascii="Arial" w:hAnsi="Arial" w:eastAsia="Arial" w:cs="Arial"/>
      <w:b/>
      <w:bCs/>
      <w:sz w:val="24"/>
      <w:szCs w:val="24"/>
    </w:rPr>
  </w:style>
  <w:style w:type="paragraph" w:styleId="670">
    <w:name w:val="Heading 6"/>
    <w:basedOn w:val="834"/>
    <w:next w:val="834"/>
    <w:link w:val="67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1">
    <w:name w:val="Heading 6 Char"/>
    <w:basedOn w:val="835"/>
    <w:link w:val="670"/>
    <w:uiPriority w:val="9"/>
    <w:rPr>
      <w:rFonts w:ascii="Arial" w:hAnsi="Arial" w:eastAsia="Arial" w:cs="Arial"/>
      <w:b/>
      <w:bCs/>
      <w:sz w:val="22"/>
      <w:szCs w:val="22"/>
    </w:rPr>
  </w:style>
  <w:style w:type="paragraph" w:styleId="672">
    <w:name w:val="Heading 7"/>
    <w:basedOn w:val="834"/>
    <w:next w:val="834"/>
    <w:link w:val="67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3">
    <w:name w:val="Heading 7 Char"/>
    <w:basedOn w:val="835"/>
    <w:link w:val="67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4">
    <w:name w:val="Heading 8"/>
    <w:basedOn w:val="834"/>
    <w:next w:val="834"/>
    <w:link w:val="67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5">
    <w:name w:val="Heading 8 Char"/>
    <w:basedOn w:val="835"/>
    <w:link w:val="674"/>
    <w:uiPriority w:val="9"/>
    <w:rPr>
      <w:rFonts w:ascii="Arial" w:hAnsi="Arial" w:eastAsia="Arial" w:cs="Arial"/>
      <w:i/>
      <w:iCs/>
      <w:sz w:val="22"/>
      <w:szCs w:val="22"/>
    </w:rPr>
  </w:style>
  <w:style w:type="paragraph" w:styleId="676">
    <w:name w:val="Heading 9"/>
    <w:basedOn w:val="834"/>
    <w:next w:val="834"/>
    <w:link w:val="67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7">
    <w:name w:val="Heading 9 Char"/>
    <w:basedOn w:val="835"/>
    <w:link w:val="676"/>
    <w:uiPriority w:val="9"/>
    <w:rPr>
      <w:rFonts w:ascii="Arial" w:hAnsi="Arial" w:eastAsia="Arial" w:cs="Arial"/>
      <w:i/>
      <w:iCs/>
      <w:sz w:val="21"/>
      <w:szCs w:val="21"/>
    </w:rPr>
  </w:style>
  <w:style w:type="paragraph" w:styleId="678">
    <w:name w:val="No Spacing"/>
    <w:uiPriority w:val="1"/>
    <w:qFormat/>
    <w:pPr>
      <w:spacing w:before="0" w:after="0" w:line="240" w:lineRule="auto"/>
    </w:pPr>
  </w:style>
  <w:style w:type="paragraph" w:styleId="679">
    <w:name w:val="Title"/>
    <w:basedOn w:val="834"/>
    <w:next w:val="834"/>
    <w:link w:val="680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0">
    <w:name w:val="Title Char"/>
    <w:basedOn w:val="835"/>
    <w:link w:val="679"/>
    <w:uiPriority w:val="10"/>
    <w:rPr>
      <w:sz w:val="48"/>
      <w:szCs w:val="48"/>
    </w:rPr>
  </w:style>
  <w:style w:type="paragraph" w:styleId="681">
    <w:name w:val="Subtitle"/>
    <w:basedOn w:val="834"/>
    <w:next w:val="834"/>
    <w:link w:val="682"/>
    <w:uiPriority w:val="11"/>
    <w:qFormat/>
    <w:pPr>
      <w:spacing w:before="200" w:after="200"/>
    </w:pPr>
    <w:rPr>
      <w:sz w:val="24"/>
      <w:szCs w:val="24"/>
    </w:rPr>
  </w:style>
  <w:style w:type="character" w:styleId="682">
    <w:name w:val="Subtitle Char"/>
    <w:basedOn w:val="835"/>
    <w:link w:val="681"/>
    <w:uiPriority w:val="11"/>
    <w:rPr>
      <w:sz w:val="24"/>
      <w:szCs w:val="24"/>
    </w:rPr>
  </w:style>
  <w:style w:type="paragraph" w:styleId="683">
    <w:name w:val="Quote"/>
    <w:basedOn w:val="834"/>
    <w:next w:val="834"/>
    <w:link w:val="684"/>
    <w:uiPriority w:val="29"/>
    <w:qFormat/>
    <w:pPr>
      <w:ind w:left="720" w:right="720"/>
    </w:pPr>
    <w:rPr>
      <w:i/>
    </w:rPr>
  </w:style>
  <w:style w:type="character" w:styleId="684">
    <w:name w:val="Quote Char"/>
    <w:link w:val="683"/>
    <w:uiPriority w:val="29"/>
    <w:rPr>
      <w:i/>
    </w:rPr>
  </w:style>
  <w:style w:type="paragraph" w:styleId="685">
    <w:name w:val="Intense Quote"/>
    <w:basedOn w:val="834"/>
    <w:next w:val="834"/>
    <w:link w:val="686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6">
    <w:name w:val="Intense Quote Char"/>
    <w:link w:val="685"/>
    <w:uiPriority w:val="30"/>
    <w:rPr>
      <w:i/>
    </w:rPr>
  </w:style>
  <w:style w:type="character" w:styleId="687">
    <w:name w:val="Header Char"/>
    <w:basedOn w:val="835"/>
    <w:link w:val="846"/>
    <w:uiPriority w:val="99"/>
  </w:style>
  <w:style w:type="character" w:styleId="688">
    <w:name w:val="Footer Char"/>
    <w:basedOn w:val="835"/>
    <w:link w:val="848"/>
    <w:uiPriority w:val="99"/>
  </w:style>
  <w:style w:type="paragraph" w:styleId="689">
    <w:name w:val="Caption"/>
    <w:basedOn w:val="834"/>
    <w:next w:val="83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0">
    <w:name w:val="Caption Char"/>
    <w:basedOn w:val="689"/>
    <w:link w:val="848"/>
    <w:uiPriority w:val="99"/>
  </w:style>
  <w:style w:type="table" w:styleId="691">
    <w:name w:val="Table Grid"/>
    <w:basedOn w:val="83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2">
    <w:name w:val="Table Grid Light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3">
    <w:name w:val="Plain Table 1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4">
    <w:name w:val="Plain Table 2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5">
    <w:name w:val="Plain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6">
    <w:name w:val="Plain Table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Plain Table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8">
    <w:name w:val="Grid Table 1 Light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4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0">
    <w:name w:val="Grid Table 4 - Accent 1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1">
    <w:name w:val="Grid Table 4 - Accent 2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2">
    <w:name w:val="Grid Table 4 - Accent 3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3">
    <w:name w:val="Grid Table 4 - Accent 4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4">
    <w:name w:val="Grid Table 4 - Accent 5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5">
    <w:name w:val="Grid Table 4 - Accent 6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6">
    <w:name w:val="Grid Table 5 Dark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0">
    <w:name w:val="Grid Table 5 Dark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3">
    <w:name w:val="Grid Table 6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4">
    <w:name w:val="Grid Table 6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5">
    <w:name w:val="Grid Table 6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6">
    <w:name w:val="Grid Table 6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7">
    <w:name w:val="Grid Table 6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8">
    <w:name w:val="Grid Table 6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9">
    <w:name w:val="Grid Table 6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0">
    <w:name w:val="Grid Table 7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5">
    <w:name w:val="List Table 2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6">
    <w:name w:val="List Table 2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7">
    <w:name w:val="List Table 2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8">
    <w:name w:val="List Table 2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9">
    <w:name w:val="List Table 2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0">
    <w:name w:val="List Table 2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1">
    <w:name w:val="List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5 Dark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6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3">
    <w:name w:val="List Table 6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4">
    <w:name w:val="List Table 6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5">
    <w:name w:val="List Table 6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6">
    <w:name w:val="List Table 6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7">
    <w:name w:val="List Table 6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8">
    <w:name w:val="List Table 6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9">
    <w:name w:val="List Table 7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0">
    <w:name w:val="List Table 7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1">
    <w:name w:val="List Table 7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2">
    <w:name w:val="List Table 7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3">
    <w:name w:val="List Table 7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4">
    <w:name w:val="List Table 7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5">
    <w:name w:val="List Table 7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6">
    <w:name w:val="Lined - Accent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7">
    <w:name w:val="Lined - Accent 1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8">
    <w:name w:val="Lined - Accent 2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9">
    <w:name w:val="Lined - Accent 3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0">
    <w:name w:val="Lined - Accent 4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1">
    <w:name w:val="Lined - Accent 5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2">
    <w:name w:val="Lined - Accent 6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3">
    <w:name w:val="Bordered &amp; Lined - Accent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4">
    <w:name w:val="Bordered &amp; Lined - Accent 1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5">
    <w:name w:val="Bordered &amp; Lined - Accent 2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6">
    <w:name w:val="Bordered &amp; Lined - Accent 3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7">
    <w:name w:val="Bordered &amp; Lined - Accent 4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8">
    <w:name w:val="Bordered &amp; Lined - Accent 5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9">
    <w:name w:val="Bordered &amp; Lined - Accent 6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0">
    <w:name w:val="Bordered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1">
    <w:name w:val="Bordered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2">
    <w:name w:val="Bordered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3">
    <w:name w:val="Bordered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4">
    <w:name w:val="Bordered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5">
    <w:name w:val="Bordered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6">
    <w:name w:val="Bordered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7">
    <w:name w:val="footnote text"/>
    <w:basedOn w:val="834"/>
    <w:link w:val="818"/>
    <w:uiPriority w:val="99"/>
    <w:semiHidden/>
    <w:unhideWhenUsed/>
    <w:pPr>
      <w:spacing w:after="40" w:line="240" w:lineRule="auto"/>
    </w:pPr>
    <w:rPr>
      <w:sz w:val="18"/>
    </w:rPr>
  </w:style>
  <w:style w:type="character" w:styleId="818">
    <w:name w:val="Footnote Text Char"/>
    <w:link w:val="817"/>
    <w:uiPriority w:val="99"/>
    <w:rPr>
      <w:sz w:val="18"/>
    </w:rPr>
  </w:style>
  <w:style w:type="character" w:styleId="819">
    <w:name w:val="footnote reference"/>
    <w:basedOn w:val="835"/>
    <w:uiPriority w:val="99"/>
    <w:unhideWhenUsed/>
    <w:rPr>
      <w:vertAlign w:val="superscript"/>
    </w:rPr>
  </w:style>
  <w:style w:type="paragraph" w:styleId="820">
    <w:name w:val="endnote text"/>
    <w:basedOn w:val="834"/>
    <w:link w:val="821"/>
    <w:uiPriority w:val="99"/>
    <w:semiHidden/>
    <w:unhideWhenUsed/>
    <w:pPr>
      <w:spacing w:after="0" w:line="240" w:lineRule="auto"/>
    </w:pPr>
    <w:rPr>
      <w:sz w:val="20"/>
    </w:rPr>
  </w:style>
  <w:style w:type="character" w:styleId="821">
    <w:name w:val="Endnote Text Char"/>
    <w:link w:val="820"/>
    <w:uiPriority w:val="99"/>
    <w:rPr>
      <w:sz w:val="20"/>
    </w:rPr>
  </w:style>
  <w:style w:type="character" w:styleId="822">
    <w:name w:val="endnote reference"/>
    <w:basedOn w:val="835"/>
    <w:uiPriority w:val="99"/>
    <w:semiHidden/>
    <w:unhideWhenUsed/>
    <w:rPr>
      <w:vertAlign w:val="superscript"/>
    </w:rPr>
  </w:style>
  <w:style w:type="paragraph" w:styleId="823">
    <w:name w:val="toc 1"/>
    <w:basedOn w:val="834"/>
    <w:next w:val="834"/>
    <w:uiPriority w:val="39"/>
    <w:unhideWhenUsed/>
    <w:pPr>
      <w:ind w:left="0" w:right="0" w:firstLine="0"/>
      <w:spacing w:after="57"/>
    </w:pPr>
  </w:style>
  <w:style w:type="paragraph" w:styleId="824">
    <w:name w:val="toc 2"/>
    <w:basedOn w:val="834"/>
    <w:next w:val="834"/>
    <w:uiPriority w:val="39"/>
    <w:unhideWhenUsed/>
    <w:pPr>
      <w:ind w:left="283" w:right="0" w:firstLine="0"/>
      <w:spacing w:after="57"/>
    </w:pPr>
  </w:style>
  <w:style w:type="paragraph" w:styleId="825">
    <w:name w:val="toc 3"/>
    <w:basedOn w:val="834"/>
    <w:next w:val="834"/>
    <w:uiPriority w:val="39"/>
    <w:unhideWhenUsed/>
    <w:pPr>
      <w:ind w:left="567" w:right="0" w:firstLine="0"/>
      <w:spacing w:after="57"/>
    </w:pPr>
  </w:style>
  <w:style w:type="paragraph" w:styleId="826">
    <w:name w:val="toc 4"/>
    <w:basedOn w:val="834"/>
    <w:next w:val="834"/>
    <w:uiPriority w:val="39"/>
    <w:unhideWhenUsed/>
    <w:pPr>
      <w:ind w:left="850" w:right="0" w:firstLine="0"/>
      <w:spacing w:after="57"/>
    </w:pPr>
  </w:style>
  <w:style w:type="paragraph" w:styleId="827">
    <w:name w:val="toc 5"/>
    <w:basedOn w:val="834"/>
    <w:next w:val="834"/>
    <w:uiPriority w:val="39"/>
    <w:unhideWhenUsed/>
    <w:pPr>
      <w:ind w:left="1134" w:right="0" w:firstLine="0"/>
      <w:spacing w:after="57"/>
    </w:pPr>
  </w:style>
  <w:style w:type="paragraph" w:styleId="828">
    <w:name w:val="toc 6"/>
    <w:basedOn w:val="834"/>
    <w:next w:val="834"/>
    <w:uiPriority w:val="39"/>
    <w:unhideWhenUsed/>
    <w:pPr>
      <w:ind w:left="1417" w:right="0" w:firstLine="0"/>
      <w:spacing w:after="57"/>
    </w:pPr>
  </w:style>
  <w:style w:type="paragraph" w:styleId="829">
    <w:name w:val="toc 7"/>
    <w:basedOn w:val="834"/>
    <w:next w:val="834"/>
    <w:uiPriority w:val="39"/>
    <w:unhideWhenUsed/>
    <w:pPr>
      <w:ind w:left="1701" w:right="0" w:firstLine="0"/>
      <w:spacing w:after="57"/>
    </w:pPr>
  </w:style>
  <w:style w:type="paragraph" w:styleId="830">
    <w:name w:val="toc 8"/>
    <w:basedOn w:val="834"/>
    <w:next w:val="834"/>
    <w:uiPriority w:val="39"/>
    <w:unhideWhenUsed/>
    <w:pPr>
      <w:ind w:left="1984" w:right="0" w:firstLine="0"/>
      <w:spacing w:after="57"/>
    </w:pPr>
  </w:style>
  <w:style w:type="paragraph" w:styleId="831">
    <w:name w:val="toc 9"/>
    <w:basedOn w:val="834"/>
    <w:next w:val="834"/>
    <w:uiPriority w:val="39"/>
    <w:unhideWhenUsed/>
    <w:pPr>
      <w:ind w:left="2268" w:right="0" w:firstLine="0"/>
      <w:spacing w:after="57"/>
    </w:pPr>
  </w:style>
  <w:style w:type="paragraph" w:styleId="832">
    <w:name w:val="TOC Heading"/>
    <w:uiPriority w:val="39"/>
    <w:unhideWhenUsed/>
  </w:style>
  <w:style w:type="paragraph" w:styleId="833">
    <w:name w:val="table of figures"/>
    <w:basedOn w:val="834"/>
    <w:next w:val="834"/>
    <w:uiPriority w:val="99"/>
    <w:unhideWhenUsed/>
    <w:pPr>
      <w:spacing w:after="0" w:afterAutospacing="0"/>
    </w:pPr>
  </w:style>
  <w:style w:type="paragraph" w:styleId="834" w:default="1">
    <w:name w:val="Normal"/>
    <w:qFormat/>
  </w:style>
  <w:style w:type="character" w:styleId="835" w:default="1">
    <w:name w:val="Default Paragraph Font"/>
    <w:uiPriority w:val="1"/>
    <w:semiHidden/>
    <w:unhideWhenUsed/>
  </w:style>
  <w:style w:type="table" w:styleId="836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7" w:default="1">
    <w:name w:val="No List"/>
    <w:uiPriority w:val="99"/>
    <w:semiHidden/>
    <w:unhideWhenUsed/>
  </w:style>
  <w:style w:type="character" w:styleId="838">
    <w:name w:val="Hyperlink"/>
    <w:basedOn w:val="835"/>
    <w:uiPriority w:val="99"/>
    <w:unhideWhenUsed/>
    <w:rPr>
      <w:color w:val="0000ff" w:themeColor="hyperlink"/>
      <w:u w:val="single"/>
    </w:rPr>
  </w:style>
  <w:style w:type="paragraph" w:styleId="839">
    <w:name w:val="Normal (Web)"/>
    <w:basedOn w:val="834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40">
    <w:name w:val="Strong"/>
    <w:basedOn w:val="835"/>
    <w:uiPriority w:val="22"/>
    <w:qFormat/>
    <w:rPr>
      <w:b/>
      <w:bCs/>
    </w:rPr>
  </w:style>
  <w:style w:type="character" w:styleId="841" w:customStyle="1">
    <w:name w:val="Font Style13"/>
    <w:basedOn w:val="835"/>
    <w:uiPriority w:val="99"/>
    <w:rPr>
      <w:rFonts w:ascii="Times New Roman" w:hAnsi="Times New Roman" w:cs="Times New Roman"/>
      <w:sz w:val="26"/>
      <w:szCs w:val="26"/>
    </w:rPr>
  </w:style>
  <w:style w:type="paragraph" w:styleId="842">
    <w:name w:val="List Paragraph"/>
    <w:basedOn w:val="834"/>
    <w:uiPriority w:val="34"/>
    <w:qFormat/>
    <w:pPr>
      <w:contextualSpacing/>
      <w:ind w:left="720"/>
    </w:pPr>
  </w:style>
  <w:style w:type="character" w:styleId="843" w:customStyle="1">
    <w:name w:val="pt-a0-000024"/>
    <w:basedOn w:val="835"/>
  </w:style>
  <w:style w:type="character" w:styleId="844" w:customStyle="1">
    <w:name w:val="fontstyle01"/>
    <w:basedOn w:val="835"/>
    <w:rPr>
      <w:rFonts w:hint="default" w:ascii="Calibri" w:hAnsi="Calibri"/>
      <w:b w:val="0"/>
      <w:bCs w:val="0"/>
      <w:i w:val="0"/>
      <w:iCs w:val="0"/>
      <w:color w:val="000000"/>
      <w:sz w:val="28"/>
      <w:szCs w:val="28"/>
    </w:rPr>
  </w:style>
  <w:style w:type="character" w:styleId="845">
    <w:name w:val="FollowedHyperlink"/>
    <w:basedOn w:val="835"/>
    <w:uiPriority w:val="99"/>
    <w:semiHidden/>
    <w:unhideWhenUsed/>
    <w:rPr>
      <w:color w:val="800080" w:themeColor="followedHyperlink"/>
      <w:u w:val="single"/>
    </w:rPr>
  </w:style>
  <w:style w:type="paragraph" w:styleId="846">
    <w:name w:val="Header"/>
    <w:basedOn w:val="834"/>
    <w:link w:val="847"/>
    <w:uiPriority w:val="99"/>
    <w:semiHidden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7" w:customStyle="1">
    <w:name w:val="Верхний колонтитул Знак"/>
    <w:basedOn w:val="835"/>
    <w:link w:val="846"/>
    <w:uiPriority w:val="99"/>
    <w:semiHidden/>
  </w:style>
  <w:style w:type="paragraph" w:styleId="848">
    <w:name w:val="Footer"/>
    <w:basedOn w:val="834"/>
    <w:link w:val="849"/>
    <w:uiPriority w:val="99"/>
    <w:semiHidden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9" w:customStyle="1">
    <w:name w:val="Нижний колонтитул Знак"/>
    <w:basedOn w:val="835"/>
    <w:link w:val="848"/>
    <w:uiPriority w:val="99"/>
    <w:semiHidden/>
  </w:style>
  <w:style w:type="paragraph" w:styleId="850" w:customStyle="1">
    <w:name w:val="ConsPlusNonformat"/>
    <w:uiPriority w:val="99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ourier New" w:hAnsi="Courier New" w:eastAsia="Times New Roman" w:cs="Courier New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https://admgor.nnov.ru/documents/Ocenka-reguliruyushchego-vozdeystviya" TargetMode="External"/><Relationship Id="rId10" Type="http://schemas.openxmlformats.org/officeDocument/2006/relationships/hyperlink" Target="https://admgor.nnov.ru/documents/Ocenka-reguliruyushchego-vozdeystviya" TargetMode="External"/><Relationship Id="rId11" Type="http://schemas.openxmlformats.org/officeDocument/2006/relationships/hyperlink" Target="https://admgor.nnov.ru/documents/Ocenka-reguliruyushchego-vozdeystviya" TargetMode="External"/><Relationship Id="rId12" Type="http://schemas.openxmlformats.org/officeDocument/2006/relationships/hyperlink" Target="https://admgor.nnov.ru/documents/Ocenka-reguliruyushchego-vozdeystviya" TargetMode="External"/><Relationship Id="rId13" Type="http://schemas.openxmlformats.org/officeDocument/2006/relationships/hyperlink" Target="https://government-nnov.ru/?id=157597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v.voronina</dc:creator>
  <cp:revision>18</cp:revision>
  <dcterms:created xsi:type="dcterms:W3CDTF">2023-01-11T10:47:00Z</dcterms:created>
  <dcterms:modified xsi:type="dcterms:W3CDTF">2025-01-23T12:22:10Z</dcterms:modified>
</cp:coreProperties>
</file>